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1A19" w14:textId="77777777" w:rsidR="000113FB" w:rsidRPr="00CA2098" w:rsidRDefault="00327D08" w:rsidP="00113348">
      <w:pPr>
        <w:ind w:left="142" w:right="142"/>
        <w:jc w:val="center"/>
        <w:rPr>
          <w:b/>
        </w:rPr>
      </w:pPr>
      <w:r>
        <w:rPr>
          <w:b/>
        </w:rPr>
        <w:t>PLOKŠTUMINIŲ PAMATŲ ĮRENGIMAS NAUDOJANT</w:t>
      </w:r>
      <w:r w:rsidR="00B66498">
        <w:rPr>
          <w:b/>
        </w:rPr>
        <w:t xml:space="preserve"> EKSTR</w:t>
      </w:r>
      <w:r w:rsidR="00923E5E">
        <w:rPr>
          <w:b/>
        </w:rPr>
        <w:t>UZINIO POLISTIROLO</w:t>
      </w:r>
      <w:r w:rsidR="00EA0821">
        <w:rPr>
          <w:b/>
        </w:rPr>
        <w:t xml:space="preserve"> PLOKŠT</w:t>
      </w:r>
      <w:r w:rsidR="007371A0">
        <w:rPr>
          <w:b/>
        </w:rPr>
        <w:t>E</w:t>
      </w:r>
      <w:r w:rsidR="00FE2750">
        <w:rPr>
          <w:b/>
        </w:rPr>
        <w:t>S (XPS) FINNFOAM</w:t>
      </w:r>
      <w:r>
        <w:rPr>
          <w:b/>
        </w:rPr>
        <w:t xml:space="preserve"> </w:t>
      </w:r>
      <w:r w:rsidR="000113FB" w:rsidRPr="00CA2098">
        <w:rPr>
          <w:b/>
        </w:rPr>
        <w:t>TECHNINĖ SPECIFIKACIJA</w:t>
      </w:r>
    </w:p>
    <w:p w14:paraId="38C1236C" w14:textId="77777777" w:rsidR="000113FB" w:rsidRPr="00CA2098" w:rsidRDefault="000113FB" w:rsidP="00C976B8">
      <w:pPr>
        <w:ind w:left="180" w:right="126" w:firstLine="900"/>
        <w:jc w:val="both"/>
        <w:rPr>
          <w:b/>
        </w:rPr>
      </w:pPr>
    </w:p>
    <w:p w14:paraId="6478C744" w14:textId="77777777" w:rsidR="00D45791" w:rsidRDefault="008326C1" w:rsidP="00601EB6">
      <w:pPr>
        <w:ind w:left="180" w:right="126" w:firstLine="450"/>
        <w:jc w:val="both"/>
      </w:pPr>
      <w:r>
        <w:t>Plokštuminių pamatų įrengimui</w:t>
      </w:r>
      <w:r w:rsidR="0092042F">
        <w:t xml:space="preserve"> </w:t>
      </w:r>
      <w:r w:rsidR="00DC6BEE">
        <w:t xml:space="preserve">turi būti </w:t>
      </w:r>
      <w:r w:rsidR="00B66498">
        <w:t>naudojamos ekstr</w:t>
      </w:r>
      <w:r w:rsidR="00923E5E">
        <w:t xml:space="preserve">uzinio </w:t>
      </w:r>
      <w:r>
        <w:t>polistireno</w:t>
      </w:r>
      <w:r w:rsidR="00B66498">
        <w:t xml:space="preserve"> plokštės</w:t>
      </w:r>
      <w:r w:rsidR="0087326E">
        <w:t xml:space="preserve"> (XPS)</w:t>
      </w:r>
      <w:r w:rsidR="00DC6BEE">
        <w:t>,</w:t>
      </w:r>
      <w:r w:rsidR="00B66498">
        <w:t xml:space="preserve"> </w:t>
      </w:r>
      <w:r w:rsidR="00C5073D">
        <w:t xml:space="preserve"> </w:t>
      </w:r>
      <w:r w:rsidR="005E4BBA">
        <w:t>atitinkanči</w:t>
      </w:r>
      <w:r w:rsidR="00DC6BEE">
        <w:t>o</w:t>
      </w:r>
      <w:r w:rsidR="005E4BBA">
        <w:t>s LST EN 13164:2012</w:t>
      </w:r>
      <w:r>
        <w:t>+A1</w:t>
      </w:r>
      <w:r w:rsidR="00311907">
        <w:t>:2015</w:t>
      </w:r>
      <w:r w:rsidR="005E4BBA">
        <w:t xml:space="preserve"> reikalavimus, arba alternatyvi sistema. </w:t>
      </w:r>
    </w:p>
    <w:p w14:paraId="08815E2A" w14:textId="77777777" w:rsidR="00FE2750" w:rsidRDefault="00D45791" w:rsidP="00601EB6">
      <w:pPr>
        <w:ind w:left="180" w:right="126" w:firstLine="450"/>
        <w:jc w:val="both"/>
      </w:pPr>
      <w:r>
        <w:t>Parenkant izoliacines medžiagas plokštuminiams pamatams kaip projektinis tvirtumo parametras turi būti naudojamas medžiagų valkšnumo gniuždant reikšmė (pagal EN</w:t>
      </w:r>
      <w:r w:rsidR="00311907">
        <w:t xml:space="preserve"> </w:t>
      </w:r>
      <w:r>
        <w:t>1606) pridedant patikimumo koeficientą. Tik ši reikšmė leidžia įvertinti kokį poveikį turės ilgalaikės ir nuolatinės apkrovos susidarančios visu pastato eksploatavimo laikotarpiu. Stipris gniuždant (arba gniuždomasis įtempis), kai bandinys deformuojamas 10</w:t>
      </w:r>
      <w:r w:rsidR="00311907">
        <w:t xml:space="preserve"> </w:t>
      </w:r>
      <w:r>
        <w:t>% (EN</w:t>
      </w:r>
      <w:r w:rsidR="00311907">
        <w:t xml:space="preserve"> </w:t>
      </w:r>
      <w:r>
        <w:t>826), yra tik informacinis parametras medžiagų tipui nustatyti, bet negali būti naudojamas kaip projektinė vertė konstrukcijų skaičiavimuose.</w:t>
      </w:r>
    </w:p>
    <w:p w14:paraId="6606184B" w14:textId="77777777" w:rsidR="009726D6" w:rsidRDefault="00D45791" w:rsidP="00601EB6">
      <w:pPr>
        <w:ind w:left="180" w:right="126" w:firstLine="450"/>
        <w:jc w:val="both"/>
      </w:pPr>
      <w:r>
        <w:t>Tarp izoliacinių medžiagų ir betono kaip skiriamąjį sluoksnį patartina naudoti ištisinį orui laidų sluoksnį, pavyzdžiui, geotekstilę, difuzinę plėvelę ar krepinį popierių.</w:t>
      </w:r>
    </w:p>
    <w:p w14:paraId="12DEE771" w14:textId="77777777" w:rsidR="00D45791" w:rsidRDefault="00D45791" w:rsidP="00601EB6">
      <w:pPr>
        <w:ind w:left="180" w:right="126" w:firstLine="450"/>
        <w:jc w:val="both"/>
      </w:pPr>
      <w:r>
        <w:t>Plokštuminio pamato pagrindui (grindims) rekomenduojama naudoti Finnfoam F-300, o šoniniam L profiliui įrengti - specialiai tam skirtas Finnfoam LB</w:t>
      </w:r>
      <w:r w:rsidR="00311907">
        <w:t>-</w:t>
      </w:r>
      <w:r>
        <w:t>300 ir LS</w:t>
      </w:r>
      <w:r w:rsidR="00311907">
        <w:t>-</w:t>
      </w:r>
      <w:r>
        <w:t>300 plokštes.</w:t>
      </w:r>
    </w:p>
    <w:p w14:paraId="0C6186A3" w14:textId="77777777" w:rsidR="00516361" w:rsidRDefault="00D45791" w:rsidP="00DE5413">
      <w:pPr>
        <w:ind w:left="180" w:right="126" w:firstLine="450"/>
        <w:jc w:val="both"/>
      </w:pPr>
      <w:r>
        <w:t>Plokštuminių pamatų įrengimo</w:t>
      </w:r>
      <w:r w:rsidR="009726D6">
        <w:t xml:space="preserve"> darbams na</w:t>
      </w:r>
      <w:r>
        <w:t>udojamos ekstruzinio polistireno</w:t>
      </w:r>
      <w:r w:rsidR="009726D6">
        <w:t xml:space="preserve"> plokštės </w:t>
      </w:r>
      <w:r w:rsidR="009726D6" w:rsidRPr="00CA2098">
        <w:t>turi būti</w:t>
      </w:r>
      <w:r w:rsidR="009726D6">
        <w:t xml:space="preserve"> paženklintos CE ženklu ir atitikti Europos direktyvų reikalavimus, praėjus atitinkamos atitikties įvertinimo procedūras.</w:t>
      </w:r>
      <w:r w:rsidR="009726D6" w:rsidRPr="00CA2098"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250"/>
        <w:gridCol w:w="5673"/>
      </w:tblGrid>
      <w:tr w:rsidR="00516361" w14:paraId="2D5448EE" w14:textId="77777777" w:rsidTr="007371A0"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14:paraId="1476D19E" w14:textId="77777777" w:rsidR="00516361" w:rsidRPr="0065658A" w:rsidRDefault="00516361" w:rsidP="00D45791">
            <w:pPr>
              <w:ind w:right="126"/>
              <w:jc w:val="center"/>
              <w:rPr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 xml:space="preserve">FINNFOAM </w:t>
            </w:r>
            <w:r w:rsidR="00D45791">
              <w:rPr>
                <w:b/>
                <w:sz w:val="22"/>
                <w:szCs w:val="22"/>
              </w:rPr>
              <w:t>plokštuminio pamato</w:t>
            </w:r>
            <w:r w:rsidRPr="00C02093">
              <w:rPr>
                <w:b/>
                <w:sz w:val="22"/>
                <w:szCs w:val="22"/>
              </w:rPr>
              <w:t xml:space="preserve"> </w:t>
            </w:r>
            <w:r w:rsidR="00D45791">
              <w:rPr>
                <w:b/>
                <w:sz w:val="22"/>
                <w:szCs w:val="22"/>
              </w:rPr>
              <w:t>įrengimo</w:t>
            </w:r>
            <w:r w:rsidRPr="00C02093">
              <w:rPr>
                <w:b/>
                <w:sz w:val="22"/>
                <w:szCs w:val="22"/>
              </w:rPr>
              <w:t xml:space="preserve"> </w:t>
            </w:r>
            <w:r w:rsidRPr="00C02093">
              <w:rPr>
                <w:b/>
                <w:color w:val="000000"/>
                <w:sz w:val="22"/>
                <w:szCs w:val="22"/>
                <w:lang w:eastAsia="en-US"/>
              </w:rPr>
              <w:t>detalė</w:t>
            </w:r>
          </w:p>
        </w:tc>
      </w:tr>
      <w:tr w:rsidR="009726D6" w14:paraId="0451EC08" w14:textId="77777777" w:rsidTr="00F7586A">
        <w:trPr>
          <w:trHeight w:val="3780"/>
        </w:trPr>
        <w:tc>
          <w:tcPr>
            <w:tcW w:w="4250" w:type="dxa"/>
          </w:tcPr>
          <w:p w14:paraId="157EA496" w14:textId="77777777" w:rsidR="009726D6" w:rsidRPr="00FE2750" w:rsidRDefault="001E5D4C" w:rsidP="00FE2750">
            <w:pPr>
              <w:ind w:right="126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D57AB2E" wp14:editId="074EE9D8">
                  <wp:extent cx="2362200" cy="2362200"/>
                  <wp:effectExtent l="0" t="0" r="0" b="0"/>
                  <wp:docPr id="3" name="Picture 3" descr="Plokstuminiai_pamat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okstuminiai_pamat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3" w:type="dxa"/>
          </w:tcPr>
          <w:p w14:paraId="367CC4F7" w14:textId="77777777" w:rsidR="001E5D4C" w:rsidRPr="001E5D4C" w:rsidRDefault="001E5D4C" w:rsidP="001E5D4C">
            <w:pPr>
              <w:spacing w:line="276" w:lineRule="auto"/>
              <w:rPr>
                <w:lang w:eastAsia="en-US"/>
              </w:rPr>
            </w:pPr>
            <w:r w:rsidRPr="001E5D4C">
              <w:rPr>
                <w:lang w:eastAsia="en-US"/>
              </w:rPr>
              <w:t>1. Finnfoam LS</w:t>
            </w:r>
            <w:r w:rsidR="00311907">
              <w:rPr>
                <w:lang w:eastAsia="en-US"/>
              </w:rPr>
              <w:t>-</w:t>
            </w:r>
            <w:r w:rsidRPr="001E5D4C">
              <w:rPr>
                <w:lang w:eastAsia="en-US"/>
              </w:rPr>
              <w:t>300 plokštės skirtos šoniniam tvirtinimui</w:t>
            </w:r>
          </w:p>
          <w:p w14:paraId="6B9D1397" w14:textId="77777777" w:rsidR="001E5D4C" w:rsidRPr="001E5D4C" w:rsidRDefault="001E5D4C" w:rsidP="001E5D4C">
            <w:pPr>
              <w:spacing w:line="276" w:lineRule="auto"/>
              <w:rPr>
                <w:lang w:eastAsia="en-US"/>
              </w:rPr>
            </w:pPr>
            <w:r w:rsidRPr="001E5D4C">
              <w:rPr>
                <w:lang w:eastAsia="en-US"/>
              </w:rPr>
              <w:t>2. Finnfoam LB</w:t>
            </w:r>
            <w:r w:rsidR="00311907">
              <w:rPr>
                <w:lang w:eastAsia="en-US"/>
              </w:rPr>
              <w:t>-</w:t>
            </w:r>
            <w:r w:rsidRPr="001E5D4C">
              <w:rPr>
                <w:lang w:eastAsia="en-US"/>
              </w:rPr>
              <w:t>300 plokštės, klojamos visu pastato perimetru</w:t>
            </w:r>
          </w:p>
          <w:p w14:paraId="04057C39" w14:textId="77777777" w:rsidR="001E5D4C" w:rsidRPr="001E5D4C" w:rsidRDefault="001E5D4C" w:rsidP="001E5D4C">
            <w:pPr>
              <w:spacing w:line="276" w:lineRule="auto"/>
              <w:rPr>
                <w:lang w:eastAsia="en-US"/>
              </w:rPr>
            </w:pPr>
            <w:r w:rsidRPr="001E5D4C">
              <w:rPr>
                <w:lang w:eastAsia="en-US"/>
              </w:rPr>
              <w:t>3. Drenažo sistema</w:t>
            </w:r>
          </w:p>
          <w:p w14:paraId="617B4DA1" w14:textId="77777777" w:rsidR="001E5D4C" w:rsidRPr="001E5D4C" w:rsidRDefault="001E5D4C" w:rsidP="001E5D4C">
            <w:pPr>
              <w:spacing w:line="276" w:lineRule="auto"/>
              <w:rPr>
                <w:lang w:eastAsia="en-US"/>
              </w:rPr>
            </w:pPr>
            <w:r w:rsidRPr="001E5D4C">
              <w:rPr>
                <w:lang w:eastAsia="en-US"/>
              </w:rPr>
              <w:t>4. Finnfoam FI plokštės</w:t>
            </w:r>
          </w:p>
          <w:p w14:paraId="525DF8CC" w14:textId="77777777" w:rsidR="001E5D4C" w:rsidRPr="001E5D4C" w:rsidRDefault="001E5D4C" w:rsidP="001E5D4C">
            <w:pPr>
              <w:spacing w:line="276" w:lineRule="auto"/>
              <w:rPr>
                <w:lang w:eastAsia="en-US"/>
              </w:rPr>
            </w:pPr>
            <w:r w:rsidRPr="001E5D4C">
              <w:rPr>
                <w:lang w:eastAsia="en-US"/>
              </w:rPr>
              <w:t>5. Horizontali pamatų apsauga nuo įšalo</w:t>
            </w:r>
          </w:p>
          <w:p w14:paraId="7A1E85BE" w14:textId="77777777" w:rsidR="001E5D4C" w:rsidRPr="001E5D4C" w:rsidRDefault="001E5D4C" w:rsidP="001E5D4C">
            <w:pPr>
              <w:spacing w:line="276" w:lineRule="auto"/>
              <w:rPr>
                <w:lang w:eastAsia="en-US"/>
              </w:rPr>
            </w:pPr>
            <w:r w:rsidRPr="001E5D4C">
              <w:rPr>
                <w:lang w:eastAsia="en-US"/>
              </w:rPr>
              <w:t>6. Sutankinto žvyro arba skaldos sluoksnis</w:t>
            </w:r>
          </w:p>
          <w:p w14:paraId="7FFDCFD8" w14:textId="77777777" w:rsidR="001E5D4C" w:rsidRPr="001E5D4C" w:rsidRDefault="001E5D4C" w:rsidP="001E5D4C">
            <w:pPr>
              <w:spacing w:line="276" w:lineRule="auto"/>
              <w:rPr>
                <w:lang w:eastAsia="en-US"/>
              </w:rPr>
            </w:pPr>
            <w:r w:rsidRPr="001E5D4C">
              <w:rPr>
                <w:lang w:eastAsia="en-US"/>
              </w:rPr>
              <w:t>7. Grindinio šildymo vamzdžiai</w:t>
            </w:r>
          </w:p>
          <w:p w14:paraId="471B7B31" w14:textId="77777777" w:rsidR="009726D6" w:rsidRPr="00522DCD" w:rsidRDefault="001E5D4C" w:rsidP="001E5D4C">
            <w:pPr>
              <w:spacing w:line="276" w:lineRule="auto"/>
              <w:rPr>
                <w:lang w:eastAsia="en-US"/>
              </w:rPr>
            </w:pPr>
            <w:r w:rsidRPr="00522DCD">
              <w:rPr>
                <w:lang w:eastAsia="en-US"/>
              </w:rPr>
              <w:t>8. Armuotas betonas</w:t>
            </w:r>
          </w:p>
        </w:tc>
      </w:tr>
    </w:tbl>
    <w:p w14:paraId="55D8B197" w14:textId="77777777" w:rsidR="007371A0" w:rsidRDefault="001E5D4C" w:rsidP="00DE5413">
      <w:pPr>
        <w:ind w:left="180" w:right="126" w:firstLine="450"/>
        <w:jc w:val="both"/>
      </w:pPr>
      <w:r>
        <w:t>Plokštuminių pamatų įrengimui</w:t>
      </w:r>
      <w:r w:rsidR="00F77482">
        <w:t xml:space="preserve"> </w:t>
      </w:r>
      <w:r w:rsidR="009726D6" w:rsidRPr="00CA2098">
        <w:t>naudojam</w:t>
      </w:r>
      <w:r w:rsidR="009726D6">
        <w:t>ų ekstr</w:t>
      </w:r>
      <w:r w:rsidR="00923E5E">
        <w:t>uzinio</w:t>
      </w:r>
      <w:r w:rsidR="009726D6">
        <w:t xml:space="preserve"> p</w:t>
      </w:r>
      <w:r>
        <w:t>olistireno p</w:t>
      </w:r>
      <w:r w:rsidR="009726D6">
        <w:t xml:space="preserve">lokščių </w:t>
      </w:r>
      <w:r w:rsidR="009726D6" w:rsidRPr="00CA2098">
        <w:t>techninės charakteristikos</w:t>
      </w:r>
      <w:r w:rsidR="009726D6">
        <w:t xml:space="preserve"> turi būti ne prastenės nei pateiktos lentelėje: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3296"/>
        <w:gridCol w:w="3259"/>
      </w:tblGrid>
      <w:tr w:rsidR="0065658A" w14:paraId="4E51169C" w14:textId="77777777" w:rsidTr="009C3FD3">
        <w:tc>
          <w:tcPr>
            <w:tcW w:w="3510" w:type="dxa"/>
          </w:tcPr>
          <w:p w14:paraId="7521E104" w14:textId="77777777" w:rsidR="0065658A" w:rsidRDefault="00311907" w:rsidP="00311907">
            <w:pPr>
              <w:ind w:right="126"/>
              <w:jc w:val="center"/>
            </w:pPr>
            <w:r>
              <w:rPr>
                <w:b/>
                <w:sz w:val="22"/>
                <w:szCs w:val="22"/>
              </w:rPr>
              <w:t>Charakteristikos</w:t>
            </w:r>
          </w:p>
        </w:tc>
        <w:tc>
          <w:tcPr>
            <w:tcW w:w="3296" w:type="dxa"/>
          </w:tcPr>
          <w:p w14:paraId="2FC25DA0" w14:textId="77777777" w:rsidR="0065658A" w:rsidRDefault="0065658A" w:rsidP="007371A0">
            <w:pPr>
              <w:ind w:right="126"/>
              <w:jc w:val="center"/>
            </w:pPr>
            <w:r w:rsidRPr="00EE09F2">
              <w:rPr>
                <w:b/>
                <w:sz w:val="22"/>
                <w:szCs w:val="22"/>
              </w:rPr>
              <w:t>Standartas</w:t>
            </w:r>
          </w:p>
        </w:tc>
        <w:tc>
          <w:tcPr>
            <w:tcW w:w="3259" w:type="dxa"/>
          </w:tcPr>
          <w:p w14:paraId="4E8E90AD" w14:textId="77777777" w:rsidR="0065658A" w:rsidRDefault="0065658A" w:rsidP="007371A0">
            <w:pPr>
              <w:ind w:right="126"/>
              <w:jc w:val="center"/>
            </w:pPr>
            <w:r w:rsidRPr="00EE09F2">
              <w:rPr>
                <w:b/>
                <w:sz w:val="22"/>
                <w:szCs w:val="22"/>
              </w:rPr>
              <w:t>Vertės</w:t>
            </w:r>
          </w:p>
        </w:tc>
      </w:tr>
      <w:tr w:rsidR="0065658A" w14:paraId="3E50F309" w14:textId="77777777" w:rsidTr="009C3FD3">
        <w:trPr>
          <w:trHeight w:val="70"/>
        </w:trPr>
        <w:tc>
          <w:tcPr>
            <w:tcW w:w="3510" w:type="dxa"/>
            <w:vAlign w:val="center"/>
          </w:tcPr>
          <w:p w14:paraId="17DD4FBE" w14:textId="77777777" w:rsidR="0065658A" w:rsidRPr="00EA0821" w:rsidRDefault="0065658A" w:rsidP="00EA0821">
            <w:pPr>
              <w:ind w:right="126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Ilgis x plotis, mm</w:t>
            </w:r>
          </w:p>
        </w:tc>
        <w:tc>
          <w:tcPr>
            <w:tcW w:w="3296" w:type="dxa"/>
            <w:vAlign w:val="center"/>
          </w:tcPr>
          <w:p w14:paraId="2048E32C" w14:textId="77777777" w:rsidR="0065658A" w:rsidRPr="00EA0821" w:rsidRDefault="0065658A" w:rsidP="00EA0821">
            <w:pPr>
              <w:ind w:right="126"/>
              <w:jc w:val="center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-</w:t>
            </w:r>
          </w:p>
        </w:tc>
        <w:tc>
          <w:tcPr>
            <w:tcW w:w="3259" w:type="dxa"/>
            <w:vAlign w:val="center"/>
          </w:tcPr>
          <w:p w14:paraId="273FDCD6" w14:textId="0479A111" w:rsidR="006074D9" w:rsidRDefault="00311907" w:rsidP="00C02093">
            <w:pPr>
              <w:ind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LB-300 </w:t>
            </w:r>
            <w:r w:rsidR="00522DCD">
              <w:rPr>
                <w:sz w:val="20"/>
                <w:szCs w:val="20"/>
                <w:lang w:val="en-GB"/>
              </w:rPr>
              <w:t>2485</w:t>
            </w:r>
            <w:r>
              <w:rPr>
                <w:sz w:val="20"/>
                <w:szCs w:val="20"/>
              </w:rPr>
              <w:t>x585</w:t>
            </w:r>
          </w:p>
          <w:p w14:paraId="5807CD04" w14:textId="1E42F292" w:rsidR="00311907" w:rsidRPr="00EA0821" w:rsidRDefault="00311907" w:rsidP="00C02093">
            <w:pPr>
              <w:ind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LS-300 </w:t>
            </w:r>
            <w:r w:rsidR="00522DCD">
              <w:rPr>
                <w:sz w:val="20"/>
                <w:szCs w:val="20"/>
              </w:rPr>
              <w:t>2500</w:t>
            </w:r>
            <w:r>
              <w:rPr>
                <w:sz w:val="20"/>
                <w:szCs w:val="20"/>
              </w:rPr>
              <w:t>x600</w:t>
            </w:r>
          </w:p>
        </w:tc>
      </w:tr>
      <w:tr w:rsidR="0065658A" w14:paraId="1AE31C24" w14:textId="77777777" w:rsidTr="009C3FD3">
        <w:tc>
          <w:tcPr>
            <w:tcW w:w="3510" w:type="dxa"/>
            <w:vAlign w:val="center"/>
          </w:tcPr>
          <w:p w14:paraId="42887F47" w14:textId="77777777" w:rsidR="0065658A" w:rsidRPr="00EA0821" w:rsidRDefault="0065658A" w:rsidP="00EA0821">
            <w:pPr>
              <w:ind w:right="126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Storis, mm</w:t>
            </w:r>
          </w:p>
        </w:tc>
        <w:tc>
          <w:tcPr>
            <w:tcW w:w="3296" w:type="dxa"/>
            <w:vAlign w:val="center"/>
          </w:tcPr>
          <w:p w14:paraId="0987ACED" w14:textId="77777777" w:rsidR="0065658A" w:rsidRPr="00EA0821" w:rsidRDefault="0065658A" w:rsidP="00EA0821">
            <w:pPr>
              <w:ind w:right="126"/>
              <w:jc w:val="center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-</w:t>
            </w:r>
          </w:p>
        </w:tc>
        <w:tc>
          <w:tcPr>
            <w:tcW w:w="3259" w:type="dxa"/>
            <w:vAlign w:val="center"/>
          </w:tcPr>
          <w:p w14:paraId="3501A351" w14:textId="77777777" w:rsidR="0065658A" w:rsidRPr="00EA0821" w:rsidRDefault="00311907" w:rsidP="00C02093">
            <w:pPr>
              <w:ind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5658A" w14:paraId="320A7166" w14:textId="77777777" w:rsidTr="009C3FD3">
        <w:tc>
          <w:tcPr>
            <w:tcW w:w="3510" w:type="dxa"/>
            <w:vAlign w:val="center"/>
          </w:tcPr>
          <w:p w14:paraId="15BB5005" w14:textId="77777777" w:rsidR="0065658A" w:rsidRPr="00EA0821" w:rsidRDefault="00745065" w:rsidP="00EA0821">
            <w:pPr>
              <w:ind w:right="126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Storio nuokrypio klasė T,</w:t>
            </w:r>
          </w:p>
        </w:tc>
        <w:tc>
          <w:tcPr>
            <w:tcW w:w="3296" w:type="dxa"/>
            <w:vAlign w:val="center"/>
          </w:tcPr>
          <w:p w14:paraId="4DF99978" w14:textId="77777777" w:rsidR="0065658A" w:rsidRPr="00EA0821" w:rsidRDefault="00745065" w:rsidP="00311907">
            <w:pPr>
              <w:ind w:right="126"/>
              <w:jc w:val="center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EN 1316</w:t>
            </w:r>
            <w:r w:rsidR="00311907">
              <w:rPr>
                <w:sz w:val="20"/>
                <w:szCs w:val="20"/>
              </w:rPr>
              <w:t>4</w:t>
            </w:r>
            <w:r w:rsidRPr="00EA0821">
              <w:rPr>
                <w:sz w:val="20"/>
                <w:szCs w:val="20"/>
              </w:rPr>
              <w:t>:2012</w:t>
            </w:r>
            <w:r w:rsidR="00311907">
              <w:rPr>
                <w:sz w:val="20"/>
                <w:szCs w:val="20"/>
              </w:rPr>
              <w:t>+A1:2015</w:t>
            </w:r>
          </w:p>
        </w:tc>
        <w:tc>
          <w:tcPr>
            <w:tcW w:w="3259" w:type="dxa"/>
            <w:vAlign w:val="center"/>
          </w:tcPr>
          <w:p w14:paraId="7B817FA2" w14:textId="77777777" w:rsidR="0065658A" w:rsidRPr="00EA0821" w:rsidRDefault="00745065" w:rsidP="00EA0821">
            <w:pPr>
              <w:ind w:right="126"/>
              <w:jc w:val="center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T1</w:t>
            </w:r>
          </w:p>
        </w:tc>
      </w:tr>
      <w:tr w:rsidR="00311907" w14:paraId="511F4891" w14:textId="77777777" w:rsidTr="009C3FD3">
        <w:trPr>
          <w:trHeight w:val="70"/>
        </w:trPr>
        <w:tc>
          <w:tcPr>
            <w:tcW w:w="3510" w:type="dxa"/>
            <w:vAlign w:val="center"/>
          </w:tcPr>
          <w:p w14:paraId="55AD2028" w14:textId="77777777" w:rsidR="00311907" w:rsidRPr="00EA0821" w:rsidRDefault="00311907" w:rsidP="00EA0821">
            <w:pPr>
              <w:ind w:right="126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Deklaruojamas šilumos laidumas λ</w:t>
            </w:r>
            <w:r w:rsidRPr="00EA0821">
              <w:rPr>
                <w:sz w:val="20"/>
                <w:szCs w:val="20"/>
                <w:vertAlign w:val="subscript"/>
              </w:rPr>
              <w:t>D</w:t>
            </w:r>
            <w:r w:rsidRPr="00EA0821">
              <w:rPr>
                <w:sz w:val="20"/>
                <w:szCs w:val="20"/>
              </w:rPr>
              <w:t>, W/mK</w:t>
            </w:r>
          </w:p>
        </w:tc>
        <w:tc>
          <w:tcPr>
            <w:tcW w:w="3296" w:type="dxa"/>
            <w:vAlign w:val="center"/>
          </w:tcPr>
          <w:p w14:paraId="6DB79105" w14:textId="77777777" w:rsidR="00311907" w:rsidRPr="00EA0821" w:rsidRDefault="00311907" w:rsidP="00EA0821">
            <w:pPr>
              <w:ind w:right="126"/>
              <w:jc w:val="center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EN 1316</w:t>
            </w:r>
            <w:r>
              <w:rPr>
                <w:sz w:val="20"/>
                <w:szCs w:val="20"/>
              </w:rPr>
              <w:t>4</w:t>
            </w:r>
            <w:r w:rsidRPr="00EA0821">
              <w:rPr>
                <w:sz w:val="20"/>
                <w:szCs w:val="20"/>
              </w:rPr>
              <w:t>:2012</w:t>
            </w:r>
            <w:r>
              <w:rPr>
                <w:sz w:val="20"/>
                <w:szCs w:val="20"/>
              </w:rPr>
              <w:t>+A1:2015</w:t>
            </w:r>
          </w:p>
        </w:tc>
        <w:tc>
          <w:tcPr>
            <w:tcW w:w="3259" w:type="dxa"/>
            <w:vAlign w:val="center"/>
          </w:tcPr>
          <w:p w14:paraId="36435BA3" w14:textId="77777777" w:rsidR="00311907" w:rsidRPr="00EA0821" w:rsidRDefault="00311907" w:rsidP="00EA0821">
            <w:pPr>
              <w:ind w:right="126"/>
              <w:jc w:val="center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0,03</w:t>
            </w:r>
            <w:r w:rsidR="0093743A">
              <w:rPr>
                <w:sz w:val="20"/>
                <w:szCs w:val="20"/>
              </w:rPr>
              <w:t>6</w:t>
            </w:r>
          </w:p>
        </w:tc>
      </w:tr>
      <w:tr w:rsidR="00745065" w14:paraId="6631C3B5" w14:textId="77777777" w:rsidTr="009C3FD3">
        <w:tc>
          <w:tcPr>
            <w:tcW w:w="3510" w:type="dxa"/>
            <w:vAlign w:val="center"/>
          </w:tcPr>
          <w:p w14:paraId="382FC00A" w14:textId="77777777" w:rsidR="00745065" w:rsidRPr="00EA0821" w:rsidRDefault="00745065" w:rsidP="00EA0821">
            <w:pPr>
              <w:ind w:right="126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Stipris gniuždant (arba gniuždomasis įtempis (10% deformacija), kPa</w:t>
            </w:r>
          </w:p>
        </w:tc>
        <w:tc>
          <w:tcPr>
            <w:tcW w:w="3296" w:type="dxa"/>
            <w:vAlign w:val="center"/>
          </w:tcPr>
          <w:p w14:paraId="1AE6FF8D" w14:textId="77777777" w:rsidR="00745065" w:rsidRPr="00EA0821" w:rsidRDefault="00311907" w:rsidP="00EA0821">
            <w:pPr>
              <w:ind w:right="126"/>
              <w:jc w:val="center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EN 1316</w:t>
            </w:r>
            <w:r>
              <w:rPr>
                <w:sz w:val="20"/>
                <w:szCs w:val="20"/>
              </w:rPr>
              <w:t>4</w:t>
            </w:r>
            <w:r w:rsidRPr="00EA0821">
              <w:rPr>
                <w:sz w:val="20"/>
                <w:szCs w:val="20"/>
              </w:rPr>
              <w:t>:2012</w:t>
            </w:r>
            <w:r>
              <w:rPr>
                <w:sz w:val="20"/>
                <w:szCs w:val="20"/>
              </w:rPr>
              <w:t>+A1:2015</w:t>
            </w:r>
          </w:p>
        </w:tc>
        <w:tc>
          <w:tcPr>
            <w:tcW w:w="3259" w:type="dxa"/>
            <w:vAlign w:val="center"/>
          </w:tcPr>
          <w:p w14:paraId="2AE67561" w14:textId="77777777" w:rsidR="00745065" w:rsidRPr="00EA0821" w:rsidRDefault="00745065" w:rsidP="00C02093">
            <w:pPr>
              <w:ind w:right="126"/>
              <w:jc w:val="center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≥</w:t>
            </w:r>
            <w:r w:rsidR="00C02093">
              <w:rPr>
                <w:sz w:val="20"/>
                <w:szCs w:val="20"/>
              </w:rPr>
              <w:t>3</w:t>
            </w:r>
            <w:r w:rsidRPr="00EA0821">
              <w:rPr>
                <w:sz w:val="20"/>
                <w:szCs w:val="20"/>
              </w:rPr>
              <w:t>00</w:t>
            </w:r>
          </w:p>
        </w:tc>
      </w:tr>
      <w:tr w:rsidR="00745065" w14:paraId="5EE81F9E" w14:textId="77777777" w:rsidTr="009C3FD3">
        <w:trPr>
          <w:trHeight w:val="70"/>
        </w:trPr>
        <w:tc>
          <w:tcPr>
            <w:tcW w:w="3510" w:type="dxa"/>
            <w:vAlign w:val="center"/>
          </w:tcPr>
          <w:p w14:paraId="1E2DDCCF" w14:textId="77777777" w:rsidR="00745065" w:rsidRPr="00EA0821" w:rsidRDefault="00745065" w:rsidP="00EA0821">
            <w:pPr>
              <w:ind w:right="126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Valkšnumas gniuždant (ilgalaikis) (2% nuokr., 1.5% poslink., 50 metų), kPa</w:t>
            </w:r>
          </w:p>
        </w:tc>
        <w:tc>
          <w:tcPr>
            <w:tcW w:w="3296" w:type="dxa"/>
            <w:vAlign w:val="center"/>
          </w:tcPr>
          <w:p w14:paraId="607CB3CF" w14:textId="77777777" w:rsidR="00745065" w:rsidRPr="00EA0821" w:rsidRDefault="00311907" w:rsidP="00EA0821">
            <w:pPr>
              <w:ind w:right="126"/>
              <w:jc w:val="center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EN 1316</w:t>
            </w:r>
            <w:r>
              <w:rPr>
                <w:sz w:val="20"/>
                <w:szCs w:val="20"/>
              </w:rPr>
              <w:t>4</w:t>
            </w:r>
            <w:r w:rsidRPr="00EA0821">
              <w:rPr>
                <w:sz w:val="20"/>
                <w:szCs w:val="20"/>
              </w:rPr>
              <w:t>:2012</w:t>
            </w:r>
            <w:r>
              <w:rPr>
                <w:sz w:val="20"/>
                <w:szCs w:val="20"/>
              </w:rPr>
              <w:t>+A1:2015</w:t>
            </w:r>
          </w:p>
        </w:tc>
        <w:tc>
          <w:tcPr>
            <w:tcW w:w="3259" w:type="dxa"/>
            <w:vAlign w:val="center"/>
          </w:tcPr>
          <w:p w14:paraId="2B0AF866" w14:textId="77777777" w:rsidR="00745065" w:rsidRPr="00EA0821" w:rsidRDefault="00F77482" w:rsidP="00C02093">
            <w:pPr>
              <w:ind w:right="126"/>
              <w:jc w:val="center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≥</w:t>
            </w:r>
            <w:r w:rsidR="00745065" w:rsidRPr="00EA0821">
              <w:rPr>
                <w:sz w:val="20"/>
                <w:szCs w:val="20"/>
              </w:rPr>
              <w:t>1</w:t>
            </w:r>
            <w:r w:rsidR="00C02093">
              <w:rPr>
                <w:sz w:val="20"/>
                <w:szCs w:val="20"/>
              </w:rPr>
              <w:t>3</w:t>
            </w:r>
            <w:r w:rsidR="00745065" w:rsidRPr="00EA0821">
              <w:rPr>
                <w:sz w:val="20"/>
                <w:szCs w:val="20"/>
              </w:rPr>
              <w:t>0</w:t>
            </w:r>
          </w:p>
        </w:tc>
      </w:tr>
      <w:tr w:rsidR="00C57FEB" w14:paraId="660C4C57" w14:textId="77777777" w:rsidTr="009C3FD3">
        <w:tc>
          <w:tcPr>
            <w:tcW w:w="3510" w:type="dxa"/>
            <w:tcBorders>
              <w:bottom w:val="nil"/>
            </w:tcBorders>
            <w:vAlign w:val="center"/>
          </w:tcPr>
          <w:p w14:paraId="0A11E3F1" w14:textId="77777777" w:rsidR="00C57FEB" w:rsidRPr="00EA0821" w:rsidRDefault="00C57FEB" w:rsidP="00EA0821">
            <w:pPr>
              <w:ind w:right="126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Ilgalaikis vandens įmirkis panardinant (po 28 parų):</w:t>
            </w:r>
          </w:p>
        </w:tc>
        <w:tc>
          <w:tcPr>
            <w:tcW w:w="3296" w:type="dxa"/>
            <w:vMerge w:val="restart"/>
            <w:vAlign w:val="center"/>
          </w:tcPr>
          <w:p w14:paraId="6B624B79" w14:textId="77777777" w:rsidR="00C57FEB" w:rsidRPr="00EA0821" w:rsidRDefault="00311907" w:rsidP="00EA0821">
            <w:pPr>
              <w:ind w:right="126"/>
              <w:jc w:val="center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EN 1316</w:t>
            </w:r>
            <w:r>
              <w:rPr>
                <w:sz w:val="20"/>
                <w:szCs w:val="20"/>
              </w:rPr>
              <w:t>4</w:t>
            </w:r>
            <w:r w:rsidRPr="00EA0821">
              <w:rPr>
                <w:sz w:val="20"/>
                <w:szCs w:val="20"/>
              </w:rPr>
              <w:t>:2012</w:t>
            </w:r>
            <w:r>
              <w:rPr>
                <w:sz w:val="20"/>
                <w:szCs w:val="20"/>
              </w:rPr>
              <w:t>+A1:2015</w:t>
            </w:r>
          </w:p>
        </w:tc>
        <w:tc>
          <w:tcPr>
            <w:tcW w:w="3259" w:type="dxa"/>
            <w:tcBorders>
              <w:bottom w:val="nil"/>
            </w:tcBorders>
            <w:vAlign w:val="center"/>
          </w:tcPr>
          <w:p w14:paraId="34F64044" w14:textId="77777777" w:rsidR="00C57FEB" w:rsidRPr="00EA0821" w:rsidRDefault="00C57FEB" w:rsidP="00EA0821">
            <w:pPr>
              <w:ind w:right="126"/>
              <w:jc w:val="center"/>
              <w:rPr>
                <w:sz w:val="20"/>
                <w:szCs w:val="20"/>
              </w:rPr>
            </w:pPr>
          </w:p>
        </w:tc>
      </w:tr>
      <w:tr w:rsidR="00C57FEB" w14:paraId="204F538A" w14:textId="77777777" w:rsidTr="009C3FD3"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00D98511" w14:textId="77777777" w:rsidR="00C57FEB" w:rsidRPr="00EA0821" w:rsidRDefault="00C57FEB" w:rsidP="00EA0821">
            <w:pPr>
              <w:ind w:right="126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EN reikšmė, v%</w:t>
            </w:r>
          </w:p>
        </w:tc>
        <w:tc>
          <w:tcPr>
            <w:tcW w:w="3296" w:type="dxa"/>
            <w:vMerge/>
            <w:vAlign w:val="center"/>
          </w:tcPr>
          <w:p w14:paraId="33D2A063" w14:textId="77777777" w:rsidR="00C57FEB" w:rsidRPr="00EA0821" w:rsidRDefault="00C57FEB" w:rsidP="00EA0821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14:paraId="325FCD2F" w14:textId="77777777" w:rsidR="00C57FEB" w:rsidRPr="00EA0821" w:rsidRDefault="00C57FEB" w:rsidP="00EA0821">
            <w:pPr>
              <w:ind w:right="126"/>
              <w:jc w:val="center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≤0,7</w:t>
            </w:r>
          </w:p>
        </w:tc>
      </w:tr>
      <w:tr w:rsidR="00C57FEB" w14:paraId="7C249C17" w14:textId="77777777" w:rsidTr="009C3FD3"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1E448D98" w14:textId="77777777" w:rsidR="00C57FEB" w:rsidRPr="00EA0821" w:rsidRDefault="00C57FEB" w:rsidP="00EA0821">
            <w:pPr>
              <w:ind w:right="126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Visa plokštė, v%</w:t>
            </w:r>
          </w:p>
        </w:tc>
        <w:tc>
          <w:tcPr>
            <w:tcW w:w="3296" w:type="dxa"/>
            <w:vMerge/>
            <w:vAlign w:val="center"/>
          </w:tcPr>
          <w:p w14:paraId="46F8C1BE" w14:textId="77777777" w:rsidR="00C57FEB" w:rsidRPr="00EA0821" w:rsidRDefault="00C57FEB" w:rsidP="00EA0821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14:paraId="502D7D16" w14:textId="77777777" w:rsidR="00C57FEB" w:rsidRPr="00EA0821" w:rsidRDefault="00C57FEB" w:rsidP="00EA0821">
            <w:pPr>
              <w:ind w:right="126"/>
              <w:jc w:val="center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≤0,2</w:t>
            </w:r>
          </w:p>
        </w:tc>
      </w:tr>
      <w:tr w:rsidR="00C57FEB" w14:paraId="703FEFCB" w14:textId="77777777" w:rsidTr="009C3FD3">
        <w:tc>
          <w:tcPr>
            <w:tcW w:w="3510" w:type="dxa"/>
            <w:tcBorders>
              <w:top w:val="nil"/>
            </w:tcBorders>
            <w:vAlign w:val="center"/>
          </w:tcPr>
          <w:p w14:paraId="23851C2A" w14:textId="77777777" w:rsidR="00C57FEB" w:rsidRPr="00EA0821" w:rsidRDefault="00C57FEB" w:rsidP="00EA0821">
            <w:pPr>
              <w:ind w:right="126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200 x 200 mm ruošinys, v%</w:t>
            </w:r>
          </w:p>
        </w:tc>
        <w:tc>
          <w:tcPr>
            <w:tcW w:w="3296" w:type="dxa"/>
            <w:vMerge/>
            <w:vAlign w:val="center"/>
          </w:tcPr>
          <w:p w14:paraId="449629D6" w14:textId="77777777" w:rsidR="00C57FEB" w:rsidRPr="00EA0821" w:rsidRDefault="00C57FEB" w:rsidP="00EA0821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</w:tcBorders>
            <w:vAlign w:val="center"/>
          </w:tcPr>
          <w:p w14:paraId="4FCFC185" w14:textId="77777777" w:rsidR="00C57FEB" w:rsidRPr="00EA0821" w:rsidRDefault="00C57FEB" w:rsidP="00EA0821">
            <w:pPr>
              <w:ind w:right="126"/>
              <w:jc w:val="center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≤0,5</w:t>
            </w:r>
          </w:p>
        </w:tc>
      </w:tr>
      <w:tr w:rsidR="00745065" w14:paraId="1FE8F2C1" w14:textId="77777777" w:rsidTr="009C3FD3">
        <w:trPr>
          <w:trHeight w:val="70"/>
        </w:trPr>
        <w:tc>
          <w:tcPr>
            <w:tcW w:w="3510" w:type="dxa"/>
            <w:vAlign w:val="center"/>
          </w:tcPr>
          <w:p w14:paraId="5FDF2ED6" w14:textId="77777777" w:rsidR="00745065" w:rsidRPr="00EA0821" w:rsidRDefault="000B5278" w:rsidP="00EA0821">
            <w:pPr>
              <w:ind w:right="126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Ilgalaikis difuzinis vandens įmirkis, v%</w:t>
            </w:r>
          </w:p>
        </w:tc>
        <w:tc>
          <w:tcPr>
            <w:tcW w:w="3296" w:type="dxa"/>
            <w:vAlign w:val="center"/>
          </w:tcPr>
          <w:p w14:paraId="1014BDC2" w14:textId="77777777" w:rsidR="00745065" w:rsidRPr="00EA0821" w:rsidRDefault="00311907" w:rsidP="00EA0821">
            <w:pPr>
              <w:ind w:right="126"/>
              <w:jc w:val="center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EN 1316</w:t>
            </w:r>
            <w:r>
              <w:rPr>
                <w:sz w:val="20"/>
                <w:szCs w:val="20"/>
              </w:rPr>
              <w:t>4</w:t>
            </w:r>
            <w:r w:rsidRPr="00EA0821">
              <w:rPr>
                <w:sz w:val="20"/>
                <w:szCs w:val="20"/>
              </w:rPr>
              <w:t>:2012</w:t>
            </w:r>
            <w:r>
              <w:rPr>
                <w:sz w:val="20"/>
                <w:szCs w:val="20"/>
              </w:rPr>
              <w:t>+A1:2015</w:t>
            </w:r>
          </w:p>
        </w:tc>
        <w:tc>
          <w:tcPr>
            <w:tcW w:w="3259" w:type="dxa"/>
            <w:vAlign w:val="center"/>
          </w:tcPr>
          <w:p w14:paraId="06C0722E" w14:textId="77777777" w:rsidR="00745065" w:rsidRPr="00EA0821" w:rsidRDefault="000B5278" w:rsidP="00C02093">
            <w:pPr>
              <w:ind w:right="126"/>
              <w:jc w:val="center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≤</w:t>
            </w:r>
            <w:r w:rsidR="00311907">
              <w:rPr>
                <w:sz w:val="20"/>
                <w:szCs w:val="20"/>
              </w:rPr>
              <w:t>1</w:t>
            </w:r>
          </w:p>
        </w:tc>
      </w:tr>
      <w:tr w:rsidR="00745065" w14:paraId="760319DF" w14:textId="77777777" w:rsidTr="009C3FD3">
        <w:tc>
          <w:tcPr>
            <w:tcW w:w="3510" w:type="dxa"/>
            <w:vAlign w:val="center"/>
          </w:tcPr>
          <w:p w14:paraId="46B597C0" w14:textId="77777777" w:rsidR="00745065" w:rsidRPr="00EA0821" w:rsidRDefault="000B5278" w:rsidP="00EA0821">
            <w:pPr>
              <w:ind w:right="126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Atsparumas šalčiui (įmirkis po 300 ciklų)</w:t>
            </w:r>
          </w:p>
        </w:tc>
        <w:tc>
          <w:tcPr>
            <w:tcW w:w="3296" w:type="dxa"/>
            <w:vAlign w:val="center"/>
          </w:tcPr>
          <w:p w14:paraId="3F8B7F16" w14:textId="77777777" w:rsidR="00745065" w:rsidRPr="00EA0821" w:rsidRDefault="00311907" w:rsidP="00EA0821">
            <w:pPr>
              <w:ind w:right="126"/>
              <w:jc w:val="center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EN 1316</w:t>
            </w:r>
            <w:r>
              <w:rPr>
                <w:sz w:val="20"/>
                <w:szCs w:val="20"/>
              </w:rPr>
              <w:t>4</w:t>
            </w:r>
            <w:r w:rsidRPr="00EA0821">
              <w:rPr>
                <w:sz w:val="20"/>
                <w:szCs w:val="20"/>
              </w:rPr>
              <w:t>:2012</w:t>
            </w:r>
            <w:r>
              <w:rPr>
                <w:sz w:val="20"/>
                <w:szCs w:val="20"/>
              </w:rPr>
              <w:t>+A1:2015</w:t>
            </w:r>
          </w:p>
        </w:tc>
        <w:tc>
          <w:tcPr>
            <w:tcW w:w="3259" w:type="dxa"/>
            <w:vAlign w:val="center"/>
          </w:tcPr>
          <w:p w14:paraId="65973CC4" w14:textId="77777777" w:rsidR="00745065" w:rsidRPr="00EA0821" w:rsidRDefault="000B5278" w:rsidP="00EA0821">
            <w:pPr>
              <w:ind w:right="126"/>
              <w:jc w:val="center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≤1</w:t>
            </w:r>
          </w:p>
        </w:tc>
      </w:tr>
      <w:tr w:rsidR="00745065" w14:paraId="115F9A35" w14:textId="77777777" w:rsidTr="009C3FD3">
        <w:tc>
          <w:tcPr>
            <w:tcW w:w="3510" w:type="dxa"/>
            <w:vAlign w:val="center"/>
          </w:tcPr>
          <w:p w14:paraId="700464B6" w14:textId="77777777" w:rsidR="00745065" w:rsidRPr="00EA0821" w:rsidRDefault="000B5278" w:rsidP="00EA0821">
            <w:pPr>
              <w:ind w:right="126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Degumo klasifikacija</w:t>
            </w:r>
          </w:p>
        </w:tc>
        <w:tc>
          <w:tcPr>
            <w:tcW w:w="3296" w:type="dxa"/>
            <w:vAlign w:val="center"/>
          </w:tcPr>
          <w:p w14:paraId="73989F1D" w14:textId="77777777" w:rsidR="00745065" w:rsidRPr="00EA0821" w:rsidRDefault="00311907" w:rsidP="00EA0821">
            <w:pPr>
              <w:ind w:right="126"/>
              <w:jc w:val="center"/>
              <w:rPr>
                <w:sz w:val="20"/>
                <w:szCs w:val="20"/>
              </w:rPr>
            </w:pPr>
            <w:r w:rsidRPr="00EA0821">
              <w:rPr>
                <w:sz w:val="20"/>
                <w:szCs w:val="20"/>
              </w:rPr>
              <w:t>EN 1316</w:t>
            </w:r>
            <w:r>
              <w:rPr>
                <w:sz w:val="20"/>
                <w:szCs w:val="20"/>
              </w:rPr>
              <w:t>4</w:t>
            </w:r>
            <w:r w:rsidRPr="00EA0821">
              <w:rPr>
                <w:sz w:val="20"/>
                <w:szCs w:val="20"/>
              </w:rPr>
              <w:t>:2012</w:t>
            </w:r>
            <w:r>
              <w:rPr>
                <w:sz w:val="20"/>
                <w:szCs w:val="20"/>
              </w:rPr>
              <w:t>+A1:2015</w:t>
            </w:r>
          </w:p>
        </w:tc>
        <w:tc>
          <w:tcPr>
            <w:tcW w:w="3259" w:type="dxa"/>
            <w:vAlign w:val="center"/>
          </w:tcPr>
          <w:p w14:paraId="411D0542" w14:textId="141B8204" w:rsidR="00745065" w:rsidRPr="00EA0821" w:rsidRDefault="00522DCD" w:rsidP="00EA0821">
            <w:pPr>
              <w:ind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NPD</w:t>
            </w:r>
            <w:bookmarkStart w:id="0" w:name="_GoBack"/>
            <w:bookmarkEnd w:id="0"/>
          </w:p>
        </w:tc>
      </w:tr>
    </w:tbl>
    <w:p w14:paraId="1BABA5F1" w14:textId="77777777" w:rsidR="00C57FEB" w:rsidRPr="00C57FEB" w:rsidRDefault="00C57FEB" w:rsidP="00C57FEB">
      <w:pPr>
        <w:ind w:right="126"/>
        <w:jc w:val="both"/>
        <w:rPr>
          <w:sz w:val="20"/>
          <w:szCs w:val="20"/>
        </w:rPr>
      </w:pPr>
      <w:r>
        <w:lastRenderedPageBreak/>
        <w:t xml:space="preserve"> </w:t>
      </w:r>
      <w:r w:rsidRPr="00C57FEB">
        <w:rPr>
          <w:sz w:val="20"/>
          <w:szCs w:val="20"/>
        </w:rPr>
        <w:t xml:space="preserve"> </w:t>
      </w:r>
    </w:p>
    <w:p w14:paraId="2309DB5B" w14:textId="77777777" w:rsidR="006074D9" w:rsidRPr="00762513" w:rsidRDefault="00652871" w:rsidP="00947E41">
      <w:pPr>
        <w:ind w:left="180" w:right="75" w:firstLine="450"/>
        <w:jc w:val="both"/>
        <w:rPr>
          <w:lang w:eastAsia="en-US"/>
        </w:rPr>
      </w:pPr>
      <w:r>
        <w:rPr>
          <w:lang w:eastAsia="en-US"/>
        </w:rPr>
        <w:t>Prieš plokštuminių pamatų montavimą nukasamas paviršinis augalinis žemės sluoksnis. Nukasus augalinį sluoksnį, klojama geotekstilė. Ant jos klojama daugiau kaip 15 cm skaldos sluoksnis.</w:t>
      </w:r>
      <w:r w:rsidR="00813F82">
        <w:rPr>
          <w:lang w:eastAsia="en-US"/>
        </w:rPr>
        <w:t xml:space="preserve"> Prieš plokštuminių pamatų montavimo pradžią reikia nutiesti visas komunikacijas į tikslias jų buvimo vietas.</w:t>
      </w:r>
      <w:r>
        <w:rPr>
          <w:lang w:eastAsia="en-US"/>
        </w:rPr>
        <w:t xml:space="preserve"> </w:t>
      </w:r>
      <w:r w:rsidR="00813F82">
        <w:rPr>
          <w:lang w:eastAsia="en-US"/>
        </w:rPr>
        <w:t>Perimetru pradedamas kloti apatinis profilis iš Finnfoam LB-300 plokščių. Vėliau į apatiniame profilyje Finnfoam LB-300 esančius griovelius įstatomas šoninis profilis Finnfoam LS-300. Prieš tai, sujungimą galima sutepti klijais. Pagal projektinius sprendinius LS profilis nupjaunamas reikiamame aukštyje, planuojamame grindų lygyje.</w:t>
      </w:r>
      <w:r w:rsidR="00FA2386">
        <w:rPr>
          <w:lang w:eastAsia="en-US"/>
        </w:rPr>
        <w:t xml:space="preserve"> Klojamos grindų plokštės Finnfoam FL-300/100 ir FI-300/100. Paklojamas armatūros tinklas, nutiesiami grindinio šildymo vamzdžiai ir išliejamas betonas.</w:t>
      </w:r>
      <w:r w:rsidR="00762513" w:rsidRPr="00762513">
        <w:rPr>
          <w:lang w:eastAsia="en-US"/>
        </w:rPr>
        <w:t xml:space="preserve"> H</w:t>
      </w:r>
      <w:r w:rsidR="00762513">
        <w:rPr>
          <w:lang w:eastAsia="en-US"/>
        </w:rPr>
        <w:t>orizontaliai klojamos Finnfoam ploštės nuo įšalo, užkasamas gruntas.</w:t>
      </w:r>
    </w:p>
    <w:p w14:paraId="4C30EC81" w14:textId="77777777" w:rsidR="00947E41" w:rsidRPr="006074D9" w:rsidRDefault="00947E41" w:rsidP="00947E41">
      <w:pPr>
        <w:ind w:left="180" w:right="75" w:firstLine="450"/>
        <w:jc w:val="both"/>
        <w:rPr>
          <w:lang w:eastAsia="en-US"/>
        </w:rPr>
      </w:pPr>
      <w:r>
        <w:rPr>
          <w:lang w:eastAsia="en-US"/>
        </w:rPr>
        <w:t xml:space="preserve">Įrengiant </w:t>
      </w:r>
      <w:r w:rsidR="00762513">
        <w:rPr>
          <w:lang w:eastAsia="en-US"/>
        </w:rPr>
        <w:t>plokštuminių pamatų</w:t>
      </w:r>
      <w:r>
        <w:rPr>
          <w:lang w:eastAsia="en-US"/>
        </w:rPr>
        <w:t xml:space="preserve"> izoliaciją iš Finnfoam ekstruzinio polistir</w:t>
      </w:r>
      <w:r w:rsidR="00762513">
        <w:rPr>
          <w:lang w:eastAsia="en-US"/>
        </w:rPr>
        <w:t>eno</w:t>
      </w:r>
      <w:r>
        <w:rPr>
          <w:lang w:eastAsia="en-US"/>
        </w:rPr>
        <w:t>, reikia vadovautis Finnfoam brėžiniais.</w:t>
      </w:r>
    </w:p>
    <w:p w14:paraId="0BEDDE6B" w14:textId="77777777" w:rsidR="001A33CA" w:rsidRDefault="00EA0821" w:rsidP="00226344">
      <w:pPr>
        <w:ind w:left="180" w:right="126" w:firstLine="450"/>
        <w:jc w:val="both"/>
      </w:pPr>
      <w:r>
        <w:t xml:space="preserve">Parenkant alternatyvią </w:t>
      </w:r>
      <w:r w:rsidR="00762513">
        <w:t>plokštuminių pamatų</w:t>
      </w:r>
      <w:r w:rsidR="002D1A9D">
        <w:t xml:space="preserve"> </w:t>
      </w:r>
      <w:r w:rsidR="00B01AC2">
        <w:t>šiltinimo</w:t>
      </w:r>
      <w:r>
        <w:t xml:space="preserve"> sistemą, </w:t>
      </w:r>
      <w:r w:rsidR="00F77482">
        <w:t xml:space="preserve">ji </w:t>
      </w:r>
      <w:r w:rsidR="00B01AC2">
        <w:t xml:space="preserve">turi </w:t>
      </w:r>
      <w:r>
        <w:t>atitikti</w:t>
      </w:r>
      <w:r w:rsidR="00B01AC2">
        <w:t xml:space="preserve"> LST EN 13164:2012</w:t>
      </w:r>
      <w:r w:rsidR="00762513">
        <w:t>+A1:2015</w:t>
      </w:r>
      <w:r w:rsidR="00B01AC2">
        <w:t xml:space="preserve"> reikalavimus.</w:t>
      </w:r>
      <w:r>
        <w:t xml:space="preserve"> </w:t>
      </w:r>
      <w:r w:rsidR="00B01AC2">
        <w:t>G</w:t>
      </w:r>
      <w:r>
        <w:t>am</w:t>
      </w:r>
      <w:r w:rsidR="00B01AC2">
        <w:t>iniams išlaikomi ne mažesni parametrų rodikliai nei nurodyti</w:t>
      </w:r>
      <w:r>
        <w:t xml:space="preserve"> 1 lentelėje</w:t>
      </w:r>
      <w:r w:rsidR="00B01AC2">
        <w:t>.</w:t>
      </w:r>
      <w:r>
        <w:t xml:space="preserve"> </w:t>
      </w:r>
    </w:p>
    <w:p w14:paraId="3F7A6246" w14:textId="77777777" w:rsidR="00226344" w:rsidRPr="009E1FFD" w:rsidRDefault="00F24397" w:rsidP="00226344">
      <w:pPr>
        <w:ind w:left="180" w:right="126" w:firstLine="450"/>
        <w:jc w:val="both"/>
      </w:pPr>
      <w:r>
        <w:t xml:space="preserve"> </w:t>
      </w:r>
    </w:p>
    <w:p w14:paraId="5518E222" w14:textId="77777777" w:rsidR="001A3EF4" w:rsidRPr="00CA2098" w:rsidRDefault="008810A1" w:rsidP="001A3EF4">
      <w:pPr>
        <w:ind w:left="180" w:right="126"/>
        <w:jc w:val="center"/>
      </w:pPr>
      <w:r>
        <w:rPr>
          <w:b/>
        </w:rPr>
        <w:t>S</w:t>
      </w:r>
      <w:r w:rsidR="00B01AC2">
        <w:rPr>
          <w:b/>
        </w:rPr>
        <w:t>Ą</w:t>
      </w:r>
      <w:r w:rsidR="001A3EF4" w:rsidRPr="00CA2098">
        <w:rPr>
          <w:b/>
        </w:rPr>
        <w:t>NAUDŲ ŽINIARAŠTIS</w:t>
      </w:r>
    </w:p>
    <w:p w14:paraId="36A80FDD" w14:textId="77777777" w:rsidR="00226E92" w:rsidRPr="00CA2098" w:rsidRDefault="00226E92" w:rsidP="00226E92">
      <w:pPr>
        <w:ind w:left="180" w:right="126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062"/>
        <w:gridCol w:w="1842"/>
        <w:gridCol w:w="993"/>
        <w:gridCol w:w="992"/>
        <w:gridCol w:w="1276"/>
      </w:tblGrid>
      <w:tr w:rsidR="008C6F87" w:rsidRPr="00CA2098" w14:paraId="0448B5F0" w14:textId="77777777" w:rsidTr="00693596">
        <w:trPr>
          <w:trHeight w:val="623"/>
        </w:trPr>
        <w:tc>
          <w:tcPr>
            <w:tcW w:w="900" w:type="dxa"/>
            <w:vAlign w:val="center"/>
          </w:tcPr>
          <w:p w14:paraId="68755F22" w14:textId="77777777" w:rsidR="008C6F87" w:rsidRPr="00CA2098" w:rsidRDefault="008C6F87" w:rsidP="00AE0DA6">
            <w:pPr>
              <w:jc w:val="center"/>
              <w:rPr>
                <w:b/>
                <w:sz w:val="20"/>
              </w:rPr>
            </w:pPr>
            <w:r w:rsidRPr="00CA2098">
              <w:rPr>
                <w:b/>
                <w:sz w:val="20"/>
              </w:rPr>
              <w:t>Pozicija Eil.Nr.</w:t>
            </w:r>
          </w:p>
        </w:tc>
        <w:tc>
          <w:tcPr>
            <w:tcW w:w="4062" w:type="dxa"/>
            <w:vAlign w:val="center"/>
          </w:tcPr>
          <w:p w14:paraId="79CF90FC" w14:textId="77777777" w:rsidR="008C6F87" w:rsidRPr="00CA2098" w:rsidRDefault="008C6F87" w:rsidP="00AE0DA6">
            <w:pPr>
              <w:pStyle w:val="Heading4"/>
            </w:pPr>
            <w:r w:rsidRPr="00CA2098">
              <w:t>Pavadinimas, techninės charakteristikos</w:t>
            </w:r>
          </w:p>
        </w:tc>
        <w:tc>
          <w:tcPr>
            <w:tcW w:w="1842" w:type="dxa"/>
            <w:vAlign w:val="center"/>
          </w:tcPr>
          <w:p w14:paraId="2AFA1A7F" w14:textId="77777777" w:rsidR="008C6F87" w:rsidRPr="00CA2098" w:rsidRDefault="008C6F87" w:rsidP="00AE0DA6">
            <w:pPr>
              <w:pStyle w:val="numeracija"/>
              <w:spacing w:line="240" w:lineRule="auto"/>
              <w:rPr>
                <w:bCs w:val="0"/>
                <w:sz w:val="22"/>
              </w:rPr>
            </w:pPr>
            <w:r w:rsidRPr="00CA2098">
              <w:rPr>
                <w:bCs w:val="0"/>
                <w:sz w:val="22"/>
              </w:rPr>
              <w:t>Nuorodos</w:t>
            </w:r>
          </w:p>
        </w:tc>
        <w:tc>
          <w:tcPr>
            <w:tcW w:w="993" w:type="dxa"/>
            <w:vAlign w:val="center"/>
          </w:tcPr>
          <w:p w14:paraId="57D732DB" w14:textId="77777777" w:rsidR="008C6F87" w:rsidRPr="00CA2098" w:rsidRDefault="008C6F87" w:rsidP="00AE0DA6">
            <w:pPr>
              <w:jc w:val="center"/>
              <w:rPr>
                <w:b/>
                <w:sz w:val="22"/>
              </w:rPr>
            </w:pPr>
            <w:r w:rsidRPr="00CA2098">
              <w:rPr>
                <w:b/>
                <w:sz w:val="22"/>
              </w:rPr>
              <w:t>Mato vnt.</w:t>
            </w:r>
          </w:p>
        </w:tc>
        <w:tc>
          <w:tcPr>
            <w:tcW w:w="992" w:type="dxa"/>
            <w:vAlign w:val="center"/>
          </w:tcPr>
          <w:p w14:paraId="75C6E8A7" w14:textId="77777777" w:rsidR="008C6F87" w:rsidRPr="00CA2098" w:rsidRDefault="008C6F87" w:rsidP="00AE0DA6">
            <w:pPr>
              <w:jc w:val="center"/>
              <w:rPr>
                <w:b/>
                <w:sz w:val="22"/>
              </w:rPr>
            </w:pPr>
            <w:r w:rsidRPr="00CA2098">
              <w:rPr>
                <w:b/>
                <w:sz w:val="22"/>
              </w:rPr>
              <w:t>Kiekis</w:t>
            </w:r>
          </w:p>
        </w:tc>
        <w:tc>
          <w:tcPr>
            <w:tcW w:w="1276" w:type="dxa"/>
            <w:vAlign w:val="center"/>
          </w:tcPr>
          <w:p w14:paraId="6AD83A7D" w14:textId="77777777" w:rsidR="008C6F87" w:rsidRPr="00CA2098" w:rsidRDefault="008C6F87" w:rsidP="00AE0DA6">
            <w:pPr>
              <w:jc w:val="center"/>
              <w:rPr>
                <w:b/>
                <w:sz w:val="22"/>
              </w:rPr>
            </w:pPr>
            <w:r w:rsidRPr="00CA2098">
              <w:rPr>
                <w:b/>
                <w:sz w:val="22"/>
              </w:rPr>
              <w:t>Papildomi duomenys</w:t>
            </w:r>
          </w:p>
        </w:tc>
      </w:tr>
      <w:tr w:rsidR="00093E65" w:rsidRPr="00CA2098" w14:paraId="5C692D34" w14:textId="77777777" w:rsidTr="00693596">
        <w:trPr>
          <w:trHeight w:val="196"/>
        </w:trPr>
        <w:tc>
          <w:tcPr>
            <w:tcW w:w="900" w:type="dxa"/>
            <w:vAlign w:val="center"/>
          </w:tcPr>
          <w:p w14:paraId="74787AA5" w14:textId="77777777" w:rsidR="00093E65" w:rsidRPr="00CA2098" w:rsidRDefault="002D1A9D" w:rsidP="000847F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062" w:type="dxa"/>
            <w:vAlign w:val="center"/>
          </w:tcPr>
          <w:p w14:paraId="4D061090" w14:textId="77777777" w:rsidR="00093E65" w:rsidRDefault="002D1A9D" w:rsidP="00762513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Ekstruzinio polistir</w:t>
            </w:r>
            <w:r w:rsidR="00762513">
              <w:rPr>
                <w:color w:val="000000" w:themeColor="text1"/>
                <w:sz w:val="20"/>
                <w:szCs w:val="20"/>
              </w:rPr>
              <w:t xml:space="preserve">eno plokštės (XPS) FINNFOAM LS 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="0076251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300,</w:t>
            </w:r>
            <w:r w:rsidR="0076251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LST EN 13164:2012</w:t>
            </w:r>
            <w:r w:rsidR="00762513">
              <w:rPr>
                <w:color w:val="000000" w:themeColor="text1"/>
                <w:sz w:val="20"/>
                <w:szCs w:val="20"/>
              </w:rPr>
              <w:t>+A1:2015</w:t>
            </w:r>
          </w:p>
        </w:tc>
        <w:tc>
          <w:tcPr>
            <w:tcW w:w="1842" w:type="dxa"/>
            <w:vAlign w:val="center"/>
          </w:tcPr>
          <w:p w14:paraId="7CB651A1" w14:textId="77777777" w:rsidR="00093E65" w:rsidRDefault="00093E65" w:rsidP="00C35778">
            <w:pPr>
              <w:pStyle w:val="normalIIrau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9668E36" w14:textId="77777777" w:rsidR="00093E65" w:rsidRPr="009634B6" w:rsidRDefault="009634B6" w:rsidP="004301F5">
            <w:pPr>
              <w:spacing w:line="360" w:lineRule="auto"/>
              <w:jc w:val="center"/>
              <w:rPr>
                <w:sz w:val="22"/>
              </w:rPr>
            </w:pPr>
            <w:r w:rsidRPr="009634B6">
              <w:rPr>
                <w:sz w:val="22"/>
              </w:rPr>
              <w:t>m</w:t>
            </w:r>
            <w:r w:rsidRPr="009634B6">
              <w:rPr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E6AB037" w14:textId="77777777" w:rsidR="00093E65" w:rsidRPr="00CA2098" w:rsidRDefault="00093E65" w:rsidP="000847F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0DF71EE7" w14:textId="77777777" w:rsidR="00093E65" w:rsidRPr="00CA2098" w:rsidRDefault="00093E65" w:rsidP="000847F7">
            <w:pPr>
              <w:spacing w:line="360" w:lineRule="auto"/>
            </w:pPr>
          </w:p>
        </w:tc>
      </w:tr>
      <w:tr w:rsidR="00093E65" w:rsidRPr="00CA2098" w14:paraId="541F4FE9" w14:textId="77777777" w:rsidTr="00693596">
        <w:trPr>
          <w:trHeight w:val="196"/>
        </w:trPr>
        <w:tc>
          <w:tcPr>
            <w:tcW w:w="900" w:type="dxa"/>
            <w:vAlign w:val="center"/>
          </w:tcPr>
          <w:p w14:paraId="49F800F4" w14:textId="77777777" w:rsidR="00093E65" w:rsidRPr="00CA2098" w:rsidRDefault="002D1A9D" w:rsidP="000847F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4062" w:type="dxa"/>
            <w:vAlign w:val="center"/>
          </w:tcPr>
          <w:p w14:paraId="4A495B0B" w14:textId="77777777" w:rsidR="00093E65" w:rsidRDefault="00762513" w:rsidP="00762513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Ekstruzinio polistireno plokštės (XPS) FINNFOAM LB - 300,  LST EN 13164:2012+A1:2015</w:t>
            </w:r>
          </w:p>
        </w:tc>
        <w:tc>
          <w:tcPr>
            <w:tcW w:w="1842" w:type="dxa"/>
            <w:vAlign w:val="center"/>
          </w:tcPr>
          <w:p w14:paraId="7B369CFE" w14:textId="77777777" w:rsidR="00093E65" w:rsidRDefault="00093E65" w:rsidP="00F77482">
            <w:pPr>
              <w:pStyle w:val="normalIIrau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931C0F8" w14:textId="77777777" w:rsidR="00093E65" w:rsidRPr="009634B6" w:rsidRDefault="009634B6" w:rsidP="004301F5">
            <w:pPr>
              <w:spacing w:line="360" w:lineRule="auto"/>
              <w:jc w:val="center"/>
              <w:rPr>
                <w:sz w:val="22"/>
              </w:rPr>
            </w:pPr>
            <w:r w:rsidRPr="009634B6">
              <w:rPr>
                <w:sz w:val="22"/>
              </w:rPr>
              <w:t>m</w:t>
            </w:r>
            <w:r w:rsidRPr="009634B6">
              <w:rPr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4C4DE50" w14:textId="77777777" w:rsidR="00093E65" w:rsidRPr="00CA2098" w:rsidRDefault="00093E65" w:rsidP="000847F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0F914C0D" w14:textId="77777777" w:rsidR="00093E65" w:rsidRPr="00CA2098" w:rsidRDefault="00093E65" w:rsidP="000847F7">
            <w:pPr>
              <w:spacing w:line="360" w:lineRule="auto"/>
            </w:pPr>
          </w:p>
        </w:tc>
      </w:tr>
      <w:tr w:rsidR="00C35778" w:rsidRPr="00CA2098" w14:paraId="52A2F584" w14:textId="77777777" w:rsidTr="00693596">
        <w:trPr>
          <w:trHeight w:val="196"/>
        </w:trPr>
        <w:tc>
          <w:tcPr>
            <w:tcW w:w="900" w:type="dxa"/>
            <w:vAlign w:val="center"/>
          </w:tcPr>
          <w:p w14:paraId="50497888" w14:textId="77777777" w:rsidR="00C35778" w:rsidRDefault="00C35778" w:rsidP="000847F7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062" w:type="dxa"/>
            <w:vAlign w:val="center"/>
          </w:tcPr>
          <w:p w14:paraId="2DA1DFE9" w14:textId="77777777" w:rsidR="00C35778" w:rsidRDefault="00762513" w:rsidP="00762513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Ekstruzinio polistireno plokštės (XPS) FINNFOAM FI - 300,  LST EN 13164:2012+A1:2015</w:t>
            </w:r>
          </w:p>
        </w:tc>
        <w:tc>
          <w:tcPr>
            <w:tcW w:w="1842" w:type="dxa"/>
            <w:vAlign w:val="center"/>
          </w:tcPr>
          <w:p w14:paraId="3617B3B4" w14:textId="77777777" w:rsidR="00C35778" w:rsidRDefault="00C35778" w:rsidP="00AA571A">
            <w:pPr>
              <w:pStyle w:val="normalIIrau"/>
              <w:ind w:left="-108"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FINNFOAM FI – 300 </w:t>
            </w:r>
            <w:r w:rsidRPr="0040316D">
              <w:rPr>
                <w:sz w:val="20"/>
                <w:szCs w:val="20"/>
              </w:rPr>
              <w:t>arba alternatyvus</w:t>
            </w:r>
          </w:p>
        </w:tc>
        <w:tc>
          <w:tcPr>
            <w:tcW w:w="993" w:type="dxa"/>
            <w:vAlign w:val="center"/>
          </w:tcPr>
          <w:p w14:paraId="4655D3DC" w14:textId="77777777" w:rsidR="00C35778" w:rsidRPr="009634B6" w:rsidRDefault="00C35778" w:rsidP="00AA571A">
            <w:pPr>
              <w:spacing w:line="360" w:lineRule="auto"/>
              <w:jc w:val="center"/>
              <w:rPr>
                <w:sz w:val="22"/>
              </w:rPr>
            </w:pPr>
            <w:r w:rsidRPr="009634B6">
              <w:rPr>
                <w:sz w:val="22"/>
              </w:rPr>
              <w:t>m</w:t>
            </w:r>
            <w:r w:rsidRPr="009634B6">
              <w:rPr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5AD8619" w14:textId="77777777" w:rsidR="00C35778" w:rsidRPr="00CA2098" w:rsidRDefault="00C35778" w:rsidP="000847F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4CFE4B7E" w14:textId="77777777" w:rsidR="00C35778" w:rsidRPr="00CA2098" w:rsidRDefault="00C35778" w:rsidP="000847F7">
            <w:pPr>
              <w:spacing w:line="360" w:lineRule="auto"/>
            </w:pPr>
          </w:p>
        </w:tc>
      </w:tr>
      <w:tr w:rsidR="00762513" w:rsidRPr="00CA2098" w14:paraId="6FFB4083" w14:textId="77777777" w:rsidTr="00693596">
        <w:trPr>
          <w:trHeight w:val="196"/>
        </w:trPr>
        <w:tc>
          <w:tcPr>
            <w:tcW w:w="900" w:type="dxa"/>
            <w:vAlign w:val="center"/>
          </w:tcPr>
          <w:p w14:paraId="50B1B380" w14:textId="77777777" w:rsidR="00762513" w:rsidRDefault="00762513" w:rsidP="000847F7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062" w:type="dxa"/>
            <w:vAlign w:val="center"/>
          </w:tcPr>
          <w:p w14:paraId="4C401A94" w14:textId="77777777" w:rsidR="00762513" w:rsidRDefault="00762513" w:rsidP="00762513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Ekstruzinio polistireno plokštės (XPS) FINNFOAM FL - 300,  LST EN 13164:2012+A1:2015</w:t>
            </w:r>
          </w:p>
        </w:tc>
        <w:tc>
          <w:tcPr>
            <w:tcW w:w="1842" w:type="dxa"/>
            <w:vAlign w:val="center"/>
          </w:tcPr>
          <w:p w14:paraId="52487AE1" w14:textId="77777777" w:rsidR="00762513" w:rsidRDefault="00762513" w:rsidP="00762513">
            <w:pPr>
              <w:pStyle w:val="normalIIrau"/>
              <w:ind w:left="-108"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FINNFOAM FL – 300 </w:t>
            </w:r>
            <w:r w:rsidRPr="0040316D">
              <w:rPr>
                <w:sz w:val="20"/>
                <w:szCs w:val="20"/>
              </w:rPr>
              <w:t>arba alternatyvus</w:t>
            </w:r>
          </w:p>
        </w:tc>
        <w:tc>
          <w:tcPr>
            <w:tcW w:w="993" w:type="dxa"/>
            <w:vAlign w:val="center"/>
          </w:tcPr>
          <w:p w14:paraId="419EDEC8" w14:textId="77777777" w:rsidR="00762513" w:rsidRPr="009634B6" w:rsidRDefault="00762513" w:rsidP="00AA571A">
            <w:pPr>
              <w:spacing w:line="360" w:lineRule="auto"/>
              <w:jc w:val="center"/>
              <w:rPr>
                <w:sz w:val="22"/>
              </w:rPr>
            </w:pPr>
            <w:r w:rsidRPr="009634B6">
              <w:rPr>
                <w:sz w:val="22"/>
              </w:rPr>
              <w:t>m</w:t>
            </w:r>
            <w:r w:rsidRPr="009634B6">
              <w:rPr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6D57EB8" w14:textId="77777777" w:rsidR="00762513" w:rsidRPr="00CA2098" w:rsidRDefault="00762513" w:rsidP="000847F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476B0713" w14:textId="77777777" w:rsidR="00762513" w:rsidRPr="00CA2098" w:rsidRDefault="00762513" w:rsidP="000847F7">
            <w:pPr>
              <w:spacing w:line="360" w:lineRule="auto"/>
            </w:pPr>
          </w:p>
        </w:tc>
      </w:tr>
      <w:tr w:rsidR="00762513" w:rsidRPr="00CA2098" w14:paraId="06E28134" w14:textId="77777777" w:rsidTr="00693596">
        <w:trPr>
          <w:trHeight w:val="196"/>
        </w:trPr>
        <w:tc>
          <w:tcPr>
            <w:tcW w:w="900" w:type="dxa"/>
            <w:vAlign w:val="center"/>
          </w:tcPr>
          <w:p w14:paraId="14E6CEEA" w14:textId="77777777" w:rsidR="00762513" w:rsidRDefault="00762513" w:rsidP="000847F7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4062" w:type="dxa"/>
            <w:vAlign w:val="center"/>
          </w:tcPr>
          <w:p w14:paraId="759C9B14" w14:textId="77777777" w:rsidR="00762513" w:rsidRDefault="009C3FD3" w:rsidP="00C35778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Ekstruzinio polistireno plokštės (XPS) FINNFOAM FI – 300 (horizontali izoliacija),  LST EN 13164:2012+A1:2015</w:t>
            </w:r>
          </w:p>
        </w:tc>
        <w:tc>
          <w:tcPr>
            <w:tcW w:w="1842" w:type="dxa"/>
            <w:vAlign w:val="center"/>
          </w:tcPr>
          <w:p w14:paraId="13F657B0" w14:textId="77777777" w:rsidR="00762513" w:rsidRDefault="00762513" w:rsidP="00AA571A">
            <w:pPr>
              <w:pStyle w:val="normalIIrau"/>
              <w:ind w:left="-108"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FINNFOAM FI – 300 </w:t>
            </w:r>
            <w:r w:rsidRPr="0040316D">
              <w:rPr>
                <w:sz w:val="20"/>
                <w:szCs w:val="20"/>
              </w:rPr>
              <w:t>arba alternatyvus</w:t>
            </w:r>
          </w:p>
        </w:tc>
        <w:tc>
          <w:tcPr>
            <w:tcW w:w="993" w:type="dxa"/>
            <w:vAlign w:val="center"/>
          </w:tcPr>
          <w:p w14:paraId="6C8EB382" w14:textId="77777777" w:rsidR="00762513" w:rsidRPr="009634B6" w:rsidRDefault="00762513" w:rsidP="00AA571A">
            <w:pPr>
              <w:spacing w:line="360" w:lineRule="auto"/>
              <w:jc w:val="center"/>
              <w:rPr>
                <w:sz w:val="22"/>
              </w:rPr>
            </w:pPr>
            <w:r w:rsidRPr="009634B6">
              <w:rPr>
                <w:sz w:val="22"/>
              </w:rPr>
              <w:t>m</w:t>
            </w:r>
            <w:r w:rsidRPr="009634B6">
              <w:rPr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9896163" w14:textId="77777777" w:rsidR="00762513" w:rsidRPr="00CA2098" w:rsidRDefault="00762513" w:rsidP="000847F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6669E0D0" w14:textId="77777777" w:rsidR="00762513" w:rsidRPr="00CA2098" w:rsidRDefault="00762513" w:rsidP="000847F7">
            <w:pPr>
              <w:spacing w:line="360" w:lineRule="auto"/>
            </w:pPr>
          </w:p>
        </w:tc>
      </w:tr>
    </w:tbl>
    <w:p w14:paraId="3A83621C" w14:textId="77777777" w:rsidR="00386073" w:rsidRPr="00CA2098" w:rsidRDefault="00386073" w:rsidP="005369E5">
      <w:pPr>
        <w:ind w:right="126"/>
        <w:rPr>
          <w:b/>
        </w:rPr>
      </w:pPr>
    </w:p>
    <w:sectPr w:rsidR="00386073" w:rsidRPr="00CA2098" w:rsidSect="00693596">
      <w:headerReference w:type="even" r:id="rId9"/>
      <w:footerReference w:type="even" r:id="rId10"/>
      <w:footerReference w:type="default" r:id="rId11"/>
      <w:footerReference w:type="first" r:id="rId12"/>
      <w:pgSz w:w="11907" w:h="16840" w:code="9"/>
      <w:pgMar w:top="567" w:right="708" w:bottom="709" w:left="1134" w:header="567" w:footer="596" w:gutter="0"/>
      <w:pg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gBorders>
      <w:pgNumType w:start="1" w:chapStyle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F70A8" w14:textId="77777777" w:rsidR="00BF01B2" w:rsidRDefault="00BF01B2">
      <w:r>
        <w:separator/>
      </w:r>
    </w:p>
  </w:endnote>
  <w:endnote w:type="continuationSeparator" w:id="0">
    <w:p w14:paraId="70AC1D78" w14:textId="77777777" w:rsidR="00BF01B2" w:rsidRDefault="00BF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D6976" w14:textId="77777777" w:rsidR="004301F5" w:rsidRDefault="004301F5" w:rsidP="00ED4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139A3A" w14:textId="77777777" w:rsidR="004301F5" w:rsidRDefault="004301F5" w:rsidP="00B07F94">
    <w:pPr>
      <w:pStyle w:val="Footer"/>
      <w:ind w:right="360"/>
    </w:pPr>
  </w:p>
  <w:p w14:paraId="33106C0D" w14:textId="77777777" w:rsidR="004301F5" w:rsidRDefault="004301F5"/>
  <w:p w14:paraId="180E056B" w14:textId="77777777" w:rsidR="004301F5" w:rsidRDefault="004301F5"/>
  <w:p w14:paraId="6CF2936A" w14:textId="77777777" w:rsidR="004301F5" w:rsidRDefault="004301F5"/>
  <w:p w14:paraId="310E3688" w14:textId="77777777" w:rsidR="004301F5" w:rsidRDefault="004301F5"/>
  <w:p w14:paraId="094EBDFA" w14:textId="77777777" w:rsidR="004301F5" w:rsidRDefault="004301F5"/>
  <w:p w14:paraId="2CDAC6A2" w14:textId="77777777" w:rsidR="004301F5" w:rsidRDefault="004301F5"/>
  <w:p w14:paraId="60031223" w14:textId="77777777" w:rsidR="004301F5" w:rsidRDefault="004301F5"/>
  <w:p w14:paraId="70DBA805" w14:textId="77777777" w:rsidR="004301F5" w:rsidRDefault="004301F5"/>
  <w:p w14:paraId="35C9C9D1" w14:textId="77777777" w:rsidR="004301F5" w:rsidRDefault="004301F5"/>
  <w:p w14:paraId="19503676" w14:textId="77777777" w:rsidR="004301F5" w:rsidRDefault="004301F5"/>
  <w:p w14:paraId="3546170C" w14:textId="77777777" w:rsidR="004301F5" w:rsidRDefault="004301F5"/>
  <w:p w14:paraId="5CEEFA74" w14:textId="77777777" w:rsidR="004301F5" w:rsidRDefault="004301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AEAC1" w14:textId="77777777" w:rsidR="004301F5" w:rsidRDefault="004301F5" w:rsidP="00B07F94">
    <w:pPr>
      <w:ind w:right="360"/>
      <w:rPr>
        <w:sz w:val="2"/>
      </w:rPr>
    </w:pPr>
  </w:p>
  <w:p w14:paraId="17FCE75A" w14:textId="77777777" w:rsidR="004301F5" w:rsidRDefault="004301F5">
    <w:pPr>
      <w:rPr>
        <w:sz w:val="2"/>
      </w:rPr>
    </w:pPr>
  </w:p>
  <w:p w14:paraId="5C441720" w14:textId="77777777" w:rsidR="004301F5" w:rsidRDefault="004301F5" w:rsidP="00693596">
    <w:pPr>
      <w:pStyle w:val="Footer"/>
      <w:framePr w:wrap="around" w:vAnchor="text" w:hAnchor="page" w:x="10811" w:y="154"/>
      <w:rPr>
        <w:rStyle w:val="PageNumber"/>
      </w:rPr>
    </w:pPr>
  </w:p>
  <w:p w14:paraId="3B37FFA4" w14:textId="77777777" w:rsidR="004301F5" w:rsidRDefault="004301F5" w:rsidP="00693596">
    <w:pPr>
      <w:pStyle w:val="Footer"/>
      <w:framePr w:wrap="around" w:vAnchor="text" w:hAnchor="page" w:x="10811" w:y="15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3FD3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0065" w:type="dxa"/>
      <w:tblInd w:w="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510"/>
      <w:gridCol w:w="2160"/>
      <w:gridCol w:w="3686"/>
      <w:gridCol w:w="709"/>
    </w:tblGrid>
    <w:tr w:rsidR="004301F5" w14:paraId="1895BAFC" w14:textId="77777777" w:rsidTr="00693596">
      <w:trPr>
        <w:cantSplit/>
        <w:trHeight w:hRule="exact" w:val="284"/>
      </w:trPr>
      <w:tc>
        <w:tcPr>
          <w:tcW w:w="3510" w:type="dxa"/>
          <w:vMerge w:val="restart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14:paraId="6E570853" w14:textId="77777777" w:rsidR="004301F5" w:rsidRDefault="00B07ED8" w:rsidP="000113FB">
          <w:pPr>
            <w:jc w:val="center"/>
            <w:rPr>
              <w:rFonts w:ascii="Arial" w:hAnsi="Arial"/>
              <w:i/>
              <w:iCs/>
              <w:sz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638BB86" wp14:editId="297EEE3B">
                <wp:extent cx="2054423" cy="341710"/>
                <wp:effectExtent l="0" t="0" r="317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0443" cy="347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  <w:tcBorders>
            <w:top w:val="single" w:sz="12" w:space="0" w:color="auto"/>
            <w:left w:val="nil"/>
          </w:tcBorders>
          <w:vAlign w:val="center"/>
        </w:tcPr>
        <w:p w14:paraId="1BE73883" w14:textId="77777777" w:rsidR="004301F5" w:rsidRPr="00CA2098" w:rsidRDefault="004301F5" w:rsidP="005256BC">
          <w:pPr>
            <w:jc w:val="center"/>
            <w:rPr>
              <w:sz w:val="20"/>
              <w:szCs w:val="20"/>
            </w:rPr>
          </w:pPr>
          <w:r w:rsidRPr="00CA2098">
            <w:rPr>
              <w:sz w:val="20"/>
              <w:szCs w:val="20"/>
            </w:rPr>
            <w:t>Rekomendacinė techninė specifikacija projektams</w:t>
          </w:r>
        </w:p>
      </w:tc>
      <w:tc>
        <w:tcPr>
          <w:tcW w:w="3686" w:type="dxa"/>
          <w:vMerge w:val="restart"/>
          <w:tcBorders>
            <w:top w:val="single" w:sz="12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106FC3D9" w14:textId="77777777" w:rsidR="004301F5" w:rsidRPr="00CA2098" w:rsidRDefault="00B07ED8" w:rsidP="00BC32AD">
          <w:pPr>
            <w:ind w:left="114" w:firstLine="28"/>
            <w:jc w:val="center"/>
            <w:rPr>
              <w:sz w:val="20"/>
            </w:rPr>
          </w:pPr>
          <w:r>
            <w:rPr>
              <w:sz w:val="20"/>
              <w:szCs w:val="20"/>
            </w:rPr>
            <w:t>FINNFOAM F</w:t>
          </w:r>
          <w:r w:rsidR="0092042F">
            <w:rPr>
              <w:sz w:val="20"/>
              <w:szCs w:val="20"/>
            </w:rPr>
            <w:t>L</w:t>
          </w:r>
          <w:r>
            <w:rPr>
              <w:sz w:val="20"/>
              <w:szCs w:val="20"/>
            </w:rPr>
            <w:t xml:space="preserve"> – </w:t>
          </w:r>
          <w:r w:rsidR="0092042F">
            <w:rPr>
              <w:sz w:val="20"/>
              <w:szCs w:val="20"/>
            </w:rPr>
            <w:t>300 grindų</w:t>
          </w:r>
          <w:r>
            <w:rPr>
              <w:sz w:val="20"/>
              <w:szCs w:val="20"/>
            </w:rPr>
            <w:t xml:space="preserve"> </w:t>
          </w:r>
          <w:r w:rsidR="0092042F">
            <w:rPr>
              <w:sz w:val="20"/>
            </w:rPr>
            <w:t>ant grunto</w:t>
          </w:r>
          <w:r w:rsidR="00BC32AD">
            <w:rPr>
              <w:sz w:val="20"/>
            </w:rPr>
            <w:t xml:space="preserve"> šiltinimo </w:t>
          </w:r>
          <w:r>
            <w:rPr>
              <w:sz w:val="20"/>
            </w:rPr>
            <w:t>plokštės</w:t>
          </w:r>
        </w:p>
      </w:tc>
      <w:tc>
        <w:tcPr>
          <w:tcW w:w="70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14:paraId="2AB90F89" w14:textId="77777777" w:rsidR="004301F5" w:rsidRPr="00CA2098" w:rsidRDefault="004301F5" w:rsidP="005C7DF4">
          <w:pPr>
            <w:pStyle w:val="Footer"/>
            <w:jc w:val="center"/>
            <w:rPr>
              <w:sz w:val="20"/>
            </w:rPr>
          </w:pPr>
          <w:r w:rsidRPr="00CA2098">
            <w:rPr>
              <w:sz w:val="20"/>
            </w:rPr>
            <w:t>Lapas</w:t>
          </w:r>
        </w:p>
      </w:tc>
    </w:tr>
    <w:tr w:rsidR="004301F5" w14:paraId="0D9EF76D" w14:textId="77777777" w:rsidTr="00693596">
      <w:trPr>
        <w:cantSplit/>
        <w:trHeight w:hRule="exact" w:val="580"/>
      </w:trPr>
      <w:tc>
        <w:tcPr>
          <w:tcW w:w="3510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14:paraId="43332293" w14:textId="77777777" w:rsidR="004301F5" w:rsidRDefault="004301F5" w:rsidP="00DA29B3">
          <w:pPr>
            <w:pStyle w:val="Footer"/>
            <w:rPr>
              <w:rFonts w:ascii="Arial" w:hAnsi="Arial" w:cs="Arial"/>
            </w:rPr>
          </w:pPr>
        </w:p>
      </w:tc>
      <w:tc>
        <w:tcPr>
          <w:tcW w:w="2160" w:type="dxa"/>
          <w:vMerge/>
          <w:tcBorders>
            <w:left w:val="nil"/>
            <w:bottom w:val="nil"/>
          </w:tcBorders>
        </w:tcPr>
        <w:p w14:paraId="1BC230C1" w14:textId="77777777" w:rsidR="004301F5" w:rsidRPr="000113FB" w:rsidRDefault="004301F5" w:rsidP="00DA29B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686" w:type="dxa"/>
          <w:vMerge/>
          <w:tcBorders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03D51D4E" w14:textId="77777777" w:rsidR="004301F5" w:rsidRPr="000113FB" w:rsidRDefault="004301F5" w:rsidP="00DA29B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  <w:vAlign w:val="center"/>
        </w:tcPr>
        <w:p w14:paraId="21D1EDDD" w14:textId="77777777" w:rsidR="004301F5" w:rsidRPr="000113FB" w:rsidRDefault="004301F5" w:rsidP="00741A6A">
          <w:pPr>
            <w:pStyle w:val="Footer"/>
            <w:rPr>
              <w:rFonts w:ascii="Arial" w:hAnsi="Arial" w:cs="Arial"/>
              <w:sz w:val="20"/>
            </w:rPr>
          </w:pPr>
        </w:p>
      </w:tc>
    </w:tr>
  </w:tbl>
  <w:p w14:paraId="2686D6A8" w14:textId="77777777" w:rsidR="004301F5" w:rsidRDefault="004301F5">
    <w:pPr>
      <w:tabs>
        <w:tab w:val="left" w:pos="3716"/>
      </w:tabs>
      <w:rPr>
        <w:sz w:val="2"/>
      </w:rPr>
    </w:pPr>
    <w:r>
      <w:rPr>
        <w:sz w:val="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A1BAE" w14:textId="77777777" w:rsidR="004301F5" w:rsidRDefault="004301F5" w:rsidP="00DA29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tblInd w:w="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241"/>
      <w:gridCol w:w="4241"/>
      <w:gridCol w:w="565"/>
      <w:gridCol w:w="565"/>
      <w:gridCol w:w="595"/>
    </w:tblGrid>
    <w:tr w:rsidR="004301F5" w14:paraId="6FD5BA3C" w14:textId="77777777" w:rsidTr="00DA29B3">
      <w:trPr>
        <w:cantSplit/>
        <w:trHeight w:hRule="exact" w:val="284"/>
      </w:trPr>
      <w:tc>
        <w:tcPr>
          <w:tcW w:w="4241" w:type="dxa"/>
          <w:vMerge w:val="restart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14:paraId="11949A43" w14:textId="77777777" w:rsidR="004301F5" w:rsidRDefault="004301F5" w:rsidP="00465C1B">
          <w:pPr>
            <w:ind w:right="360"/>
            <w:jc w:val="center"/>
            <w:rPr>
              <w:rFonts w:ascii="Arial" w:hAnsi="Arial"/>
              <w:i/>
              <w:iCs/>
              <w:sz w:val="20"/>
            </w:rPr>
          </w:pPr>
          <w:r>
            <w:rPr>
              <w:rFonts w:ascii="Arial" w:hAnsi="Arial"/>
              <w:i/>
              <w:iCs/>
              <w:sz w:val="20"/>
            </w:rPr>
            <w:t xml:space="preserve">UAB Swelbalt </w:t>
          </w:r>
        </w:p>
      </w:tc>
      <w:tc>
        <w:tcPr>
          <w:tcW w:w="4241" w:type="dxa"/>
          <w:vMerge w:val="restart"/>
          <w:tcBorders>
            <w:top w:val="single" w:sz="12" w:space="0" w:color="auto"/>
            <w:left w:val="nil"/>
          </w:tcBorders>
          <w:vAlign w:val="center"/>
        </w:tcPr>
        <w:p w14:paraId="0CEEAAB9" w14:textId="77777777" w:rsidR="004301F5" w:rsidRDefault="004301F5" w:rsidP="00DA29B3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Tele2 kabelių įvado sandarinimo Roxtec G 4x3 montavimo instrukcija</w:t>
          </w:r>
        </w:p>
      </w:tc>
      <w:tc>
        <w:tcPr>
          <w:tcW w:w="565" w:type="dxa"/>
          <w:tcBorders>
            <w:top w:val="single" w:sz="12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3B183F64" w14:textId="77777777" w:rsidR="004301F5" w:rsidRDefault="004301F5" w:rsidP="00DA29B3">
          <w:pPr>
            <w:pStyle w:val="Footer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Lapas</w:t>
          </w:r>
        </w:p>
      </w:tc>
      <w:tc>
        <w:tcPr>
          <w:tcW w:w="56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C44C468" w14:textId="77777777" w:rsidR="004301F5" w:rsidRDefault="004301F5" w:rsidP="00DA29B3">
          <w:pPr>
            <w:pStyle w:val="Footer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Lapų</w:t>
          </w:r>
        </w:p>
      </w:tc>
      <w:tc>
        <w:tcPr>
          <w:tcW w:w="595" w:type="dxa"/>
          <w:tcBorders>
            <w:top w:val="single" w:sz="12" w:space="0" w:color="auto"/>
            <w:bottom w:val="single" w:sz="6" w:space="0" w:color="auto"/>
          </w:tcBorders>
          <w:vAlign w:val="center"/>
        </w:tcPr>
        <w:p w14:paraId="652FA4E4" w14:textId="77777777" w:rsidR="004301F5" w:rsidRDefault="004301F5" w:rsidP="00DA29B3">
          <w:pPr>
            <w:pStyle w:val="Footer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Laida</w:t>
          </w:r>
        </w:p>
      </w:tc>
    </w:tr>
    <w:tr w:rsidR="004301F5" w14:paraId="2D6F3C16" w14:textId="77777777" w:rsidTr="00DA29B3">
      <w:trPr>
        <w:cantSplit/>
        <w:trHeight w:hRule="exact" w:val="567"/>
      </w:trPr>
      <w:tc>
        <w:tcPr>
          <w:tcW w:w="4241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14:paraId="75566FDA" w14:textId="77777777" w:rsidR="004301F5" w:rsidRDefault="004301F5" w:rsidP="00DA29B3">
          <w:pPr>
            <w:pStyle w:val="Footer"/>
            <w:rPr>
              <w:rFonts w:ascii="Arial" w:hAnsi="Arial" w:cs="Arial"/>
            </w:rPr>
          </w:pPr>
        </w:p>
      </w:tc>
      <w:tc>
        <w:tcPr>
          <w:tcW w:w="4241" w:type="dxa"/>
          <w:vMerge/>
          <w:tcBorders>
            <w:left w:val="nil"/>
            <w:bottom w:val="nil"/>
          </w:tcBorders>
        </w:tcPr>
        <w:p w14:paraId="100DF94E" w14:textId="77777777" w:rsidR="004301F5" w:rsidRDefault="004301F5" w:rsidP="00DA29B3">
          <w:pPr>
            <w:pStyle w:val="Footer"/>
            <w:jc w:val="center"/>
            <w:rPr>
              <w:rFonts w:ascii="Arial" w:hAnsi="Arial" w:cs="Arial"/>
            </w:rPr>
          </w:pPr>
        </w:p>
      </w:tc>
      <w:tc>
        <w:tcPr>
          <w:tcW w:w="565" w:type="dxa"/>
          <w:tcBorders>
            <w:left w:val="single" w:sz="6" w:space="0" w:color="auto"/>
            <w:bottom w:val="nil"/>
          </w:tcBorders>
          <w:vAlign w:val="center"/>
        </w:tcPr>
        <w:p w14:paraId="0321E99A" w14:textId="77777777" w:rsidR="004301F5" w:rsidRDefault="004301F5" w:rsidP="00DA29B3">
          <w:pPr>
            <w:pStyle w:val="Footer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5" w:type="dxa"/>
          <w:tcBorders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470B5844" w14:textId="77777777" w:rsidR="004301F5" w:rsidRDefault="004301F5" w:rsidP="00DA29B3">
          <w:pPr>
            <w:pStyle w:val="Footer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3</w:t>
          </w:r>
        </w:p>
      </w:tc>
      <w:tc>
        <w:tcPr>
          <w:tcW w:w="595" w:type="dxa"/>
          <w:tcBorders>
            <w:bottom w:val="nil"/>
          </w:tcBorders>
          <w:vAlign w:val="center"/>
        </w:tcPr>
        <w:p w14:paraId="1945FFB3" w14:textId="77777777" w:rsidR="004301F5" w:rsidRDefault="004301F5" w:rsidP="00DA29B3">
          <w:pPr>
            <w:pStyle w:val="Footer"/>
            <w:jc w:val="center"/>
            <w:rPr>
              <w:rFonts w:ascii="Arial" w:hAnsi="Arial" w:cs="Arial"/>
              <w:sz w:val="22"/>
            </w:rPr>
          </w:pPr>
        </w:p>
      </w:tc>
    </w:tr>
  </w:tbl>
  <w:p w14:paraId="1F60EB77" w14:textId="77777777" w:rsidR="004301F5" w:rsidRDefault="00430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C4938" w14:textId="77777777" w:rsidR="00BF01B2" w:rsidRDefault="00BF01B2">
      <w:r>
        <w:separator/>
      </w:r>
    </w:p>
  </w:footnote>
  <w:footnote w:type="continuationSeparator" w:id="0">
    <w:p w14:paraId="7C792902" w14:textId="77777777" w:rsidR="00BF01B2" w:rsidRDefault="00BF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0B5A9" w14:textId="77777777" w:rsidR="004301F5" w:rsidRDefault="004301F5"/>
  <w:p w14:paraId="10F5EAA4" w14:textId="77777777" w:rsidR="004301F5" w:rsidRDefault="004301F5"/>
  <w:p w14:paraId="45374BAD" w14:textId="77777777" w:rsidR="004301F5" w:rsidRDefault="004301F5"/>
  <w:p w14:paraId="755F0B3A" w14:textId="77777777" w:rsidR="004301F5" w:rsidRDefault="004301F5"/>
  <w:p w14:paraId="5A3EB90A" w14:textId="77777777" w:rsidR="004301F5" w:rsidRDefault="004301F5"/>
  <w:p w14:paraId="334D8FF9" w14:textId="77777777" w:rsidR="004301F5" w:rsidRDefault="004301F5"/>
  <w:p w14:paraId="4199070B" w14:textId="77777777" w:rsidR="004301F5" w:rsidRDefault="004301F5"/>
  <w:p w14:paraId="26B004B1" w14:textId="77777777" w:rsidR="004301F5" w:rsidRDefault="004301F5"/>
  <w:p w14:paraId="49B0D005" w14:textId="77777777" w:rsidR="004301F5" w:rsidRDefault="004301F5"/>
  <w:p w14:paraId="1F2921DD" w14:textId="77777777" w:rsidR="004301F5" w:rsidRDefault="004301F5"/>
  <w:p w14:paraId="0804F128" w14:textId="77777777" w:rsidR="004301F5" w:rsidRDefault="004301F5"/>
  <w:p w14:paraId="40A44527" w14:textId="77777777" w:rsidR="004301F5" w:rsidRDefault="004301F5"/>
  <w:p w14:paraId="78FDB6CA" w14:textId="77777777" w:rsidR="004301F5" w:rsidRDefault="004301F5"/>
  <w:p w14:paraId="385A6A7B" w14:textId="77777777" w:rsidR="004301F5" w:rsidRDefault="004301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094"/>
    <w:multiLevelType w:val="hybridMultilevel"/>
    <w:tmpl w:val="C0368B86"/>
    <w:lvl w:ilvl="0" w:tplc="B01EEB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AD56B7"/>
    <w:multiLevelType w:val="hybridMultilevel"/>
    <w:tmpl w:val="F970D794"/>
    <w:lvl w:ilvl="0" w:tplc="B01EEB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667AB8"/>
    <w:multiLevelType w:val="hybridMultilevel"/>
    <w:tmpl w:val="C67645E6"/>
    <w:lvl w:ilvl="0" w:tplc="BD5E6A0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26F1"/>
    <w:multiLevelType w:val="hybridMultilevel"/>
    <w:tmpl w:val="566CEDAA"/>
    <w:lvl w:ilvl="0" w:tplc="B01EEB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B36118"/>
    <w:multiLevelType w:val="hybridMultilevel"/>
    <w:tmpl w:val="8EB05726"/>
    <w:lvl w:ilvl="0" w:tplc="42647002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420835"/>
    <w:multiLevelType w:val="hybridMultilevel"/>
    <w:tmpl w:val="1A988556"/>
    <w:lvl w:ilvl="0" w:tplc="A150037C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1076279"/>
    <w:multiLevelType w:val="hybridMultilevel"/>
    <w:tmpl w:val="11C294DA"/>
    <w:lvl w:ilvl="0" w:tplc="B01EEB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3B67124"/>
    <w:multiLevelType w:val="multilevel"/>
    <w:tmpl w:val="B74ECA2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5FA4BFC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1D835B50"/>
    <w:multiLevelType w:val="hybridMultilevel"/>
    <w:tmpl w:val="C78CFD58"/>
    <w:lvl w:ilvl="0" w:tplc="B01EEB0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EBA02D0"/>
    <w:multiLevelType w:val="hybridMultilevel"/>
    <w:tmpl w:val="0F5EDE86"/>
    <w:lvl w:ilvl="0" w:tplc="B01EEB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46B4AD7"/>
    <w:multiLevelType w:val="hybridMultilevel"/>
    <w:tmpl w:val="5EA673A2"/>
    <w:lvl w:ilvl="0" w:tplc="B5E6E94A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C47925"/>
    <w:multiLevelType w:val="hybridMultilevel"/>
    <w:tmpl w:val="1A409198"/>
    <w:lvl w:ilvl="0" w:tplc="E2903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9A35DE">
      <w:numFmt w:val="none"/>
      <w:lvlText w:val=""/>
      <w:lvlJc w:val="left"/>
      <w:pPr>
        <w:tabs>
          <w:tab w:val="num" w:pos="360"/>
        </w:tabs>
      </w:pPr>
    </w:lvl>
    <w:lvl w:ilvl="2" w:tplc="FEE64ACC">
      <w:numFmt w:val="none"/>
      <w:lvlText w:val=""/>
      <w:lvlJc w:val="left"/>
      <w:pPr>
        <w:tabs>
          <w:tab w:val="num" w:pos="360"/>
        </w:tabs>
      </w:pPr>
    </w:lvl>
    <w:lvl w:ilvl="3" w:tplc="F4D63CF4">
      <w:numFmt w:val="none"/>
      <w:lvlText w:val=""/>
      <w:lvlJc w:val="left"/>
      <w:pPr>
        <w:tabs>
          <w:tab w:val="num" w:pos="360"/>
        </w:tabs>
      </w:pPr>
    </w:lvl>
    <w:lvl w:ilvl="4" w:tplc="E5AA3474">
      <w:numFmt w:val="none"/>
      <w:lvlText w:val=""/>
      <w:lvlJc w:val="left"/>
      <w:pPr>
        <w:tabs>
          <w:tab w:val="num" w:pos="360"/>
        </w:tabs>
      </w:pPr>
    </w:lvl>
    <w:lvl w:ilvl="5" w:tplc="A3FC65EC">
      <w:numFmt w:val="none"/>
      <w:lvlText w:val=""/>
      <w:lvlJc w:val="left"/>
      <w:pPr>
        <w:tabs>
          <w:tab w:val="num" w:pos="360"/>
        </w:tabs>
      </w:pPr>
    </w:lvl>
    <w:lvl w:ilvl="6" w:tplc="A6BC2170">
      <w:numFmt w:val="none"/>
      <w:lvlText w:val=""/>
      <w:lvlJc w:val="left"/>
      <w:pPr>
        <w:tabs>
          <w:tab w:val="num" w:pos="360"/>
        </w:tabs>
      </w:pPr>
    </w:lvl>
    <w:lvl w:ilvl="7" w:tplc="18609770">
      <w:numFmt w:val="none"/>
      <w:lvlText w:val=""/>
      <w:lvlJc w:val="left"/>
      <w:pPr>
        <w:tabs>
          <w:tab w:val="num" w:pos="360"/>
        </w:tabs>
      </w:pPr>
    </w:lvl>
    <w:lvl w:ilvl="8" w:tplc="2F02E7D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0630D83"/>
    <w:multiLevelType w:val="hybridMultilevel"/>
    <w:tmpl w:val="2DB4D97E"/>
    <w:lvl w:ilvl="0" w:tplc="B01EEB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620A77"/>
    <w:multiLevelType w:val="hybridMultilevel"/>
    <w:tmpl w:val="451EFCBE"/>
    <w:lvl w:ilvl="0" w:tplc="F31E5F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26E563A"/>
    <w:multiLevelType w:val="hybridMultilevel"/>
    <w:tmpl w:val="16AE65D6"/>
    <w:lvl w:ilvl="0" w:tplc="B01EEB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1740336">
      <w:start w:val="1"/>
      <w:numFmt w:val="lowerLetter"/>
      <w:lvlText w:val="%2a)"/>
      <w:lvlJc w:val="left"/>
      <w:pPr>
        <w:tabs>
          <w:tab w:val="num" w:pos="1439"/>
        </w:tabs>
        <w:ind w:left="180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942159"/>
    <w:multiLevelType w:val="hybridMultilevel"/>
    <w:tmpl w:val="F208A5B8"/>
    <w:lvl w:ilvl="0" w:tplc="7B38735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64128E2"/>
    <w:multiLevelType w:val="hybridMultilevel"/>
    <w:tmpl w:val="0CB28C1E"/>
    <w:lvl w:ilvl="0" w:tplc="B01EEB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7237957"/>
    <w:multiLevelType w:val="hybridMultilevel"/>
    <w:tmpl w:val="BF6292F0"/>
    <w:lvl w:ilvl="0" w:tplc="B01EEB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9B221D2"/>
    <w:multiLevelType w:val="hybridMultilevel"/>
    <w:tmpl w:val="6450C948"/>
    <w:lvl w:ilvl="0" w:tplc="B01EEB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CF7004F"/>
    <w:multiLevelType w:val="hybridMultilevel"/>
    <w:tmpl w:val="FDA2CACE"/>
    <w:lvl w:ilvl="0" w:tplc="B01EEB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3887F44"/>
    <w:multiLevelType w:val="hybridMultilevel"/>
    <w:tmpl w:val="969EBBD6"/>
    <w:lvl w:ilvl="0" w:tplc="D4740CA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15214"/>
    <w:multiLevelType w:val="hybridMultilevel"/>
    <w:tmpl w:val="7BA4E7FA"/>
    <w:lvl w:ilvl="0" w:tplc="0366C93A">
      <w:start w:val="1"/>
      <w:numFmt w:val="decimal"/>
      <w:lvlText w:val="%1)"/>
      <w:lvlJc w:val="left"/>
      <w:pPr>
        <w:tabs>
          <w:tab w:val="num" w:pos="2325"/>
        </w:tabs>
        <w:ind w:left="2325" w:hanging="1245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99D3F86"/>
    <w:multiLevelType w:val="hybridMultilevel"/>
    <w:tmpl w:val="7BCCCB20"/>
    <w:lvl w:ilvl="0" w:tplc="B01EEB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B316D2A"/>
    <w:multiLevelType w:val="hybridMultilevel"/>
    <w:tmpl w:val="7E46EAEE"/>
    <w:lvl w:ilvl="0" w:tplc="B01EEB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DB0286F"/>
    <w:multiLevelType w:val="hybridMultilevel"/>
    <w:tmpl w:val="CED0BD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053DC"/>
    <w:multiLevelType w:val="hybridMultilevel"/>
    <w:tmpl w:val="5D9ED520"/>
    <w:lvl w:ilvl="0" w:tplc="321E35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4F4008EB"/>
    <w:multiLevelType w:val="hybridMultilevel"/>
    <w:tmpl w:val="7F3819FA"/>
    <w:lvl w:ilvl="0" w:tplc="EC062CD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84331B"/>
    <w:multiLevelType w:val="hybridMultilevel"/>
    <w:tmpl w:val="9CF2670E"/>
    <w:lvl w:ilvl="0" w:tplc="B01EEB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4CC5AC8"/>
    <w:multiLevelType w:val="hybridMultilevel"/>
    <w:tmpl w:val="FB32390C"/>
    <w:lvl w:ilvl="0" w:tplc="A150037C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9D459BB"/>
    <w:multiLevelType w:val="hybridMultilevel"/>
    <w:tmpl w:val="3970D4A0"/>
    <w:lvl w:ilvl="0" w:tplc="B01EEB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B0A5962"/>
    <w:multiLevelType w:val="hybridMultilevel"/>
    <w:tmpl w:val="B9FEFFA2"/>
    <w:lvl w:ilvl="0" w:tplc="B01EEB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2005F3C"/>
    <w:multiLevelType w:val="hybridMultilevel"/>
    <w:tmpl w:val="5F442C20"/>
    <w:lvl w:ilvl="0" w:tplc="AF1A1D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94A3E"/>
    <w:multiLevelType w:val="multilevel"/>
    <w:tmpl w:val="8D3C9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A8C51BB"/>
    <w:multiLevelType w:val="hybridMultilevel"/>
    <w:tmpl w:val="B74ECA2C"/>
    <w:lvl w:ilvl="0" w:tplc="7B38735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BB30737"/>
    <w:multiLevelType w:val="hybridMultilevel"/>
    <w:tmpl w:val="C846BBEA"/>
    <w:lvl w:ilvl="0" w:tplc="DF321B1E">
      <w:start w:val="10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8E4165"/>
    <w:multiLevelType w:val="hybridMultilevel"/>
    <w:tmpl w:val="D3807370"/>
    <w:lvl w:ilvl="0" w:tplc="E548A91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437FE"/>
    <w:multiLevelType w:val="hybridMultilevel"/>
    <w:tmpl w:val="880812BE"/>
    <w:lvl w:ilvl="0" w:tplc="A150037C">
      <w:start w:val="1"/>
      <w:numFmt w:val="lowerLetter"/>
      <w:lvlText w:val="%1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8" w15:restartNumberingAfterBreak="0">
    <w:nsid w:val="748F6688"/>
    <w:multiLevelType w:val="hybridMultilevel"/>
    <w:tmpl w:val="B04A804E"/>
    <w:lvl w:ilvl="0" w:tplc="3D1A61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80E9B"/>
    <w:multiLevelType w:val="hybridMultilevel"/>
    <w:tmpl w:val="A0545CA8"/>
    <w:lvl w:ilvl="0" w:tplc="A150037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003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953EA5"/>
    <w:multiLevelType w:val="hybridMultilevel"/>
    <w:tmpl w:val="0B58AAEE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287FB9"/>
    <w:multiLevelType w:val="hybridMultilevel"/>
    <w:tmpl w:val="3EB4DDEC"/>
    <w:lvl w:ilvl="0" w:tplc="B01EEB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5"/>
  </w:num>
  <w:num w:numId="4">
    <w:abstractNumId w:val="29"/>
  </w:num>
  <w:num w:numId="5">
    <w:abstractNumId w:val="37"/>
  </w:num>
  <w:num w:numId="6">
    <w:abstractNumId w:val="30"/>
  </w:num>
  <w:num w:numId="7">
    <w:abstractNumId w:val="24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18"/>
  </w:num>
  <w:num w:numId="13">
    <w:abstractNumId w:val="23"/>
  </w:num>
  <w:num w:numId="14">
    <w:abstractNumId w:val="10"/>
  </w:num>
  <w:num w:numId="15">
    <w:abstractNumId w:val="31"/>
  </w:num>
  <w:num w:numId="16">
    <w:abstractNumId w:val="20"/>
  </w:num>
  <w:num w:numId="17">
    <w:abstractNumId w:val="41"/>
  </w:num>
  <w:num w:numId="18">
    <w:abstractNumId w:val="17"/>
  </w:num>
  <w:num w:numId="19">
    <w:abstractNumId w:val="9"/>
  </w:num>
  <w:num w:numId="20">
    <w:abstractNumId w:val="13"/>
  </w:num>
  <w:num w:numId="21">
    <w:abstractNumId w:val="19"/>
  </w:num>
  <w:num w:numId="22">
    <w:abstractNumId w:val="28"/>
  </w:num>
  <w:num w:numId="23">
    <w:abstractNumId w:val="34"/>
  </w:num>
  <w:num w:numId="24">
    <w:abstractNumId w:val="7"/>
  </w:num>
  <w:num w:numId="25">
    <w:abstractNumId w:val="16"/>
  </w:num>
  <w:num w:numId="26">
    <w:abstractNumId w:val="26"/>
  </w:num>
  <w:num w:numId="27">
    <w:abstractNumId w:val="38"/>
  </w:num>
  <w:num w:numId="28">
    <w:abstractNumId w:val="27"/>
  </w:num>
  <w:num w:numId="29">
    <w:abstractNumId w:val="32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2"/>
  </w:num>
  <w:num w:numId="33">
    <w:abstractNumId w:val="4"/>
  </w:num>
  <w:num w:numId="34">
    <w:abstractNumId w:val="33"/>
  </w:num>
  <w:num w:numId="35">
    <w:abstractNumId w:val="8"/>
  </w:num>
  <w:num w:numId="36">
    <w:abstractNumId w:val="40"/>
  </w:num>
  <w:num w:numId="37">
    <w:abstractNumId w:val="22"/>
  </w:num>
  <w:num w:numId="38">
    <w:abstractNumId w:val="14"/>
  </w:num>
  <w:num w:numId="39">
    <w:abstractNumId w:val="2"/>
  </w:num>
  <w:num w:numId="40">
    <w:abstractNumId w:val="36"/>
  </w:num>
  <w:num w:numId="41">
    <w:abstractNumId w:val="2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de-DE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086"/>
    <w:rsid w:val="000113FB"/>
    <w:rsid w:val="00015C9B"/>
    <w:rsid w:val="00023996"/>
    <w:rsid w:val="00035002"/>
    <w:rsid w:val="00045841"/>
    <w:rsid w:val="00052620"/>
    <w:rsid w:val="000568F9"/>
    <w:rsid w:val="000645A6"/>
    <w:rsid w:val="000666A7"/>
    <w:rsid w:val="00083E96"/>
    <w:rsid w:val="000847F7"/>
    <w:rsid w:val="00093E65"/>
    <w:rsid w:val="000A1728"/>
    <w:rsid w:val="000B5278"/>
    <w:rsid w:val="000C059D"/>
    <w:rsid w:val="000F02CE"/>
    <w:rsid w:val="000F353F"/>
    <w:rsid w:val="001046D2"/>
    <w:rsid w:val="00107917"/>
    <w:rsid w:val="00113348"/>
    <w:rsid w:val="00114CF3"/>
    <w:rsid w:val="00117FC8"/>
    <w:rsid w:val="00120D26"/>
    <w:rsid w:val="00122355"/>
    <w:rsid w:val="00144C8E"/>
    <w:rsid w:val="00145252"/>
    <w:rsid w:val="0014549D"/>
    <w:rsid w:val="00161C91"/>
    <w:rsid w:val="00176BB1"/>
    <w:rsid w:val="001A33CA"/>
    <w:rsid w:val="001A33D7"/>
    <w:rsid w:val="001A3D28"/>
    <w:rsid w:val="001A3EF4"/>
    <w:rsid w:val="001B6C35"/>
    <w:rsid w:val="001C0212"/>
    <w:rsid w:val="001D15FB"/>
    <w:rsid w:val="001D6040"/>
    <w:rsid w:val="001E206C"/>
    <w:rsid w:val="001E257E"/>
    <w:rsid w:val="001E5D4C"/>
    <w:rsid w:val="001F6DC7"/>
    <w:rsid w:val="00214B72"/>
    <w:rsid w:val="00226344"/>
    <w:rsid w:val="00226A2A"/>
    <w:rsid w:val="00226E92"/>
    <w:rsid w:val="00255DE3"/>
    <w:rsid w:val="00256CAA"/>
    <w:rsid w:val="00273628"/>
    <w:rsid w:val="00276BE9"/>
    <w:rsid w:val="002922C2"/>
    <w:rsid w:val="00295684"/>
    <w:rsid w:val="002A2EF4"/>
    <w:rsid w:val="002C0F48"/>
    <w:rsid w:val="002C3F26"/>
    <w:rsid w:val="002D1A9D"/>
    <w:rsid w:val="002D4B0A"/>
    <w:rsid w:val="002E00CC"/>
    <w:rsid w:val="002E3BCF"/>
    <w:rsid w:val="00311907"/>
    <w:rsid w:val="00327D08"/>
    <w:rsid w:val="003356A7"/>
    <w:rsid w:val="00341D7A"/>
    <w:rsid w:val="00344212"/>
    <w:rsid w:val="00345FEC"/>
    <w:rsid w:val="003533CC"/>
    <w:rsid w:val="003559BC"/>
    <w:rsid w:val="00362D31"/>
    <w:rsid w:val="00371C11"/>
    <w:rsid w:val="00380C28"/>
    <w:rsid w:val="00382CF3"/>
    <w:rsid w:val="00383C2F"/>
    <w:rsid w:val="00386073"/>
    <w:rsid w:val="003957E0"/>
    <w:rsid w:val="003C3072"/>
    <w:rsid w:val="003C49CD"/>
    <w:rsid w:val="003D4FEA"/>
    <w:rsid w:val="003D5D24"/>
    <w:rsid w:val="003D66D3"/>
    <w:rsid w:val="003D70A7"/>
    <w:rsid w:val="003E14AC"/>
    <w:rsid w:val="003E7973"/>
    <w:rsid w:val="003E7AF0"/>
    <w:rsid w:val="003F1E6C"/>
    <w:rsid w:val="003F3266"/>
    <w:rsid w:val="003F7191"/>
    <w:rsid w:val="00400695"/>
    <w:rsid w:val="0040316D"/>
    <w:rsid w:val="00422BCA"/>
    <w:rsid w:val="00423E67"/>
    <w:rsid w:val="004301F5"/>
    <w:rsid w:val="004328F3"/>
    <w:rsid w:val="00442715"/>
    <w:rsid w:val="004537C0"/>
    <w:rsid w:val="00465C1B"/>
    <w:rsid w:val="004665EC"/>
    <w:rsid w:val="00470393"/>
    <w:rsid w:val="0048574D"/>
    <w:rsid w:val="004A6F44"/>
    <w:rsid w:val="004B1A95"/>
    <w:rsid w:val="004B28E4"/>
    <w:rsid w:val="00503729"/>
    <w:rsid w:val="00505321"/>
    <w:rsid w:val="005075FE"/>
    <w:rsid w:val="00513EFA"/>
    <w:rsid w:val="00516361"/>
    <w:rsid w:val="00522DCD"/>
    <w:rsid w:val="005256BC"/>
    <w:rsid w:val="005369E5"/>
    <w:rsid w:val="0054650D"/>
    <w:rsid w:val="005740C4"/>
    <w:rsid w:val="00580635"/>
    <w:rsid w:val="005859A8"/>
    <w:rsid w:val="005A5F54"/>
    <w:rsid w:val="005B2341"/>
    <w:rsid w:val="005B2EF4"/>
    <w:rsid w:val="005B4720"/>
    <w:rsid w:val="005B7E4E"/>
    <w:rsid w:val="005C19EC"/>
    <w:rsid w:val="005C6D68"/>
    <w:rsid w:val="005C7B35"/>
    <w:rsid w:val="005C7DF4"/>
    <w:rsid w:val="005D4865"/>
    <w:rsid w:val="005D5564"/>
    <w:rsid w:val="005D6A2C"/>
    <w:rsid w:val="005E013F"/>
    <w:rsid w:val="005E4BBA"/>
    <w:rsid w:val="005F7810"/>
    <w:rsid w:val="0060108D"/>
    <w:rsid w:val="00601EB6"/>
    <w:rsid w:val="00604675"/>
    <w:rsid w:val="00605158"/>
    <w:rsid w:val="006074D9"/>
    <w:rsid w:val="00610BAC"/>
    <w:rsid w:val="0061628D"/>
    <w:rsid w:val="00631D3A"/>
    <w:rsid w:val="00641CAF"/>
    <w:rsid w:val="00652871"/>
    <w:rsid w:val="00654DB2"/>
    <w:rsid w:val="0065658A"/>
    <w:rsid w:val="00660537"/>
    <w:rsid w:val="00661532"/>
    <w:rsid w:val="0066596B"/>
    <w:rsid w:val="006760FE"/>
    <w:rsid w:val="0068002B"/>
    <w:rsid w:val="00693596"/>
    <w:rsid w:val="006949E9"/>
    <w:rsid w:val="006A3583"/>
    <w:rsid w:val="006A6EDD"/>
    <w:rsid w:val="006C53A1"/>
    <w:rsid w:val="006F59BD"/>
    <w:rsid w:val="007079E7"/>
    <w:rsid w:val="00714D27"/>
    <w:rsid w:val="00717A09"/>
    <w:rsid w:val="00732E9B"/>
    <w:rsid w:val="00733F1A"/>
    <w:rsid w:val="007371A0"/>
    <w:rsid w:val="00741A6A"/>
    <w:rsid w:val="00745065"/>
    <w:rsid w:val="007518FF"/>
    <w:rsid w:val="00762513"/>
    <w:rsid w:val="007629C3"/>
    <w:rsid w:val="007729C9"/>
    <w:rsid w:val="00792F96"/>
    <w:rsid w:val="00795CB3"/>
    <w:rsid w:val="007971BD"/>
    <w:rsid w:val="007A0B0D"/>
    <w:rsid w:val="007A10DA"/>
    <w:rsid w:val="007A1C02"/>
    <w:rsid w:val="007A42B8"/>
    <w:rsid w:val="007A6241"/>
    <w:rsid w:val="007B12A4"/>
    <w:rsid w:val="007D271F"/>
    <w:rsid w:val="0080041E"/>
    <w:rsid w:val="008055D3"/>
    <w:rsid w:val="0080577E"/>
    <w:rsid w:val="00805F0C"/>
    <w:rsid w:val="00813F82"/>
    <w:rsid w:val="008144F7"/>
    <w:rsid w:val="0082102D"/>
    <w:rsid w:val="0082416E"/>
    <w:rsid w:val="0083085E"/>
    <w:rsid w:val="008326C1"/>
    <w:rsid w:val="008379CC"/>
    <w:rsid w:val="00837F64"/>
    <w:rsid w:val="0087326E"/>
    <w:rsid w:val="00874E43"/>
    <w:rsid w:val="008810A1"/>
    <w:rsid w:val="00894ACC"/>
    <w:rsid w:val="008A2E72"/>
    <w:rsid w:val="008B7C44"/>
    <w:rsid w:val="008C6F87"/>
    <w:rsid w:val="008D77CF"/>
    <w:rsid w:val="008F1CD8"/>
    <w:rsid w:val="009004B1"/>
    <w:rsid w:val="00911565"/>
    <w:rsid w:val="00913823"/>
    <w:rsid w:val="0092042F"/>
    <w:rsid w:val="00923E5E"/>
    <w:rsid w:val="009360B5"/>
    <w:rsid w:val="0093743A"/>
    <w:rsid w:val="00943E31"/>
    <w:rsid w:val="00947E41"/>
    <w:rsid w:val="00957369"/>
    <w:rsid w:val="009634B6"/>
    <w:rsid w:val="00963C00"/>
    <w:rsid w:val="00971727"/>
    <w:rsid w:val="009726D6"/>
    <w:rsid w:val="00983EB6"/>
    <w:rsid w:val="009A2C2D"/>
    <w:rsid w:val="009A6170"/>
    <w:rsid w:val="009B273D"/>
    <w:rsid w:val="009C3FD3"/>
    <w:rsid w:val="009C7131"/>
    <w:rsid w:val="009D1A96"/>
    <w:rsid w:val="009F3E93"/>
    <w:rsid w:val="00A03D9F"/>
    <w:rsid w:val="00A22078"/>
    <w:rsid w:val="00A332FA"/>
    <w:rsid w:val="00A44B18"/>
    <w:rsid w:val="00A464BC"/>
    <w:rsid w:val="00A51086"/>
    <w:rsid w:val="00A52BB9"/>
    <w:rsid w:val="00A57CB2"/>
    <w:rsid w:val="00A610A0"/>
    <w:rsid w:val="00A82C98"/>
    <w:rsid w:val="00A853D6"/>
    <w:rsid w:val="00A95E5D"/>
    <w:rsid w:val="00AA6846"/>
    <w:rsid w:val="00AB1811"/>
    <w:rsid w:val="00AC1814"/>
    <w:rsid w:val="00AD1964"/>
    <w:rsid w:val="00AD79F5"/>
    <w:rsid w:val="00AE04D4"/>
    <w:rsid w:val="00AE0DA6"/>
    <w:rsid w:val="00AE1417"/>
    <w:rsid w:val="00AE5B75"/>
    <w:rsid w:val="00AF0ACB"/>
    <w:rsid w:val="00AF5862"/>
    <w:rsid w:val="00B01AC2"/>
    <w:rsid w:val="00B07ED8"/>
    <w:rsid w:val="00B07F94"/>
    <w:rsid w:val="00B11DE9"/>
    <w:rsid w:val="00B14DB8"/>
    <w:rsid w:val="00B3546B"/>
    <w:rsid w:val="00B3593C"/>
    <w:rsid w:val="00B5496E"/>
    <w:rsid w:val="00B550DE"/>
    <w:rsid w:val="00B66498"/>
    <w:rsid w:val="00B71386"/>
    <w:rsid w:val="00B73B9C"/>
    <w:rsid w:val="00B76E07"/>
    <w:rsid w:val="00BA5CBD"/>
    <w:rsid w:val="00BB3A05"/>
    <w:rsid w:val="00BC32AD"/>
    <w:rsid w:val="00BD141E"/>
    <w:rsid w:val="00BD5520"/>
    <w:rsid w:val="00BF01B2"/>
    <w:rsid w:val="00BF1676"/>
    <w:rsid w:val="00BF42D6"/>
    <w:rsid w:val="00C02093"/>
    <w:rsid w:val="00C11B96"/>
    <w:rsid w:val="00C162FF"/>
    <w:rsid w:val="00C225F0"/>
    <w:rsid w:val="00C35133"/>
    <w:rsid w:val="00C35778"/>
    <w:rsid w:val="00C439F8"/>
    <w:rsid w:val="00C5073D"/>
    <w:rsid w:val="00C566FD"/>
    <w:rsid w:val="00C57FEB"/>
    <w:rsid w:val="00C60776"/>
    <w:rsid w:val="00C62120"/>
    <w:rsid w:val="00C64E4F"/>
    <w:rsid w:val="00C7026B"/>
    <w:rsid w:val="00C76032"/>
    <w:rsid w:val="00C976B8"/>
    <w:rsid w:val="00CA2098"/>
    <w:rsid w:val="00CB3E62"/>
    <w:rsid w:val="00CB73BD"/>
    <w:rsid w:val="00CC5226"/>
    <w:rsid w:val="00CC72A9"/>
    <w:rsid w:val="00CD65CB"/>
    <w:rsid w:val="00CF1836"/>
    <w:rsid w:val="00CF1F78"/>
    <w:rsid w:val="00CF59D5"/>
    <w:rsid w:val="00D2298A"/>
    <w:rsid w:val="00D357E7"/>
    <w:rsid w:val="00D44214"/>
    <w:rsid w:val="00D45791"/>
    <w:rsid w:val="00D730E6"/>
    <w:rsid w:val="00D75138"/>
    <w:rsid w:val="00D921EB"/>
    <w:rsid w:val="00DA29B3"/>
    <w:rsid w:val="00DA4A99"/>
    <w:rsid w:val="00DC6BEE"/>
    <w:rsid w:val="00DE5413"/>
    <w:rsid w:val="00DE5EAF"/>
    <w:rsid w:val="00E00A40"/>
    <w:rsid w:val="00E04602"/>
    <w:rsid w:val="00E06411"/>
    <w:rsid w:val="00E07F9C"/>
    <w:rsid w:val="00E2164C"/>
    <w:rsid w:val="00E36A74"/>
    <w:rsid w:val="00E42D0C"/>
    <w:rsid w:val="00E51268"/>
    <w:rsid w:val="00E73865"/>
    <w:rsid w:val="00E80B01"/>
    <w:rsid w:val="00E871B4"/>
    <w:rsid w:val="00E97286"/>
    <w:rsid w:val="00EA0821"/>
    <w:rsid w:val="00EA3128"/>
    <w:rsid w:val="00EA38AE"/>
    <w:rsid w:val="00EB08E1"/>
    <w:rsid w:val="00EB2E84"/>
    <w:rsid w:val="00EB6385"/>
    <w:rsid w:val="00EC293A"/>
    <w:rsid w:val="00ED163B"/>
    <w:rsid w:val="00ED4534"/>
    <w:rsid w:val="00EE09F2"/>
    <w:rsid w:val="00F13C2D"/>
    <w:rsid w:val="00F24397"/>
    <w:rsid w:val="00F544C2"/>
    <w:rsid w:val="00F744F2"/>
    <w:rsid w:val="00F750EB"/>
    <w:rsid w:val="00F76E94"/>
    <w:rsid w:val="00F77482"/>
    <w:rsid w:val="00F77E78"/>
    <w:rsid w:val="00F82060"/>
    <w:rsid w:val="00FA2386"/>
    <w:rsid w:val="00FB42E9"/>
    <w:rsid w:val="00FD5EA0"/>
    <w:rsid w:val="00FD7232"/>
    <w:rsid w:val="00FE2750"/>
    <w:rsid w:val="00FE68A2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CE8EC"/>
  <w15:docId w15:val="{A95A112C-211C-4864-8F51-0782A1C1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11"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caps/>
      <w:sz w:val="27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142" w:right="284" w:firstLine="567"/>
      <w:jc w:val="center"/>
      <w:outlineLvl w:val="1"/>
    </w:pPr>
    <w:rPr>
      <w:b/>
      <w:caps/>
      <w:sz w:val="23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-22" w:firstLine="22"/>
      <w:jc w:val="center"/>
      <w:outlineLvl w:val="2"/>
    </w:pPr>
    <w:rPr>
      <w:rFonts w:ascii="Arial" w:hAnsi="Arial" w:cs="Arial"/>
      <w:b/>
      <w:bCs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-108" w:right="-108"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ind w:left="-57" w:right="-57"/>
      <w:jc w:val="center"/>
      <w:outlineLvl w:val="5"/>
    </w:pPr>
    <w:rPr>
      <w:sz w:val="21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color w:val="00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  <w:szCs w:val="20"/>
    </w:rPr>
  </w:style>
  <w:style w:type="character" w:styleId="PageNumber">
    <w:name w:val="page number"/>
    <w:basedOn w:val="DefaultParagraphFont"/>
    <w:rPr>
      <w:rFonts w:ascii="Times New Roman" w:hAnsi="Times New Roman"/>
      <w:dstrike w:val="0"/>
      <w:noProof w:val="0"/>
      <w:color w:val="auto"/>
      <w:sz w:val="22"/>
      <w:vertAlign w:val="baseline"/>
      <w:lang w:val="lt-L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2" w:firstLine="578"/>
      <w:jc w:val="both"/>
    </w:pPr>
  </w:style>
  <w:style w:type="paragraph" w:styleId="BlockText">
    <w:name w:val="Block Text"/>
    <w:basedOn w:val="Normal"/>
    <w:pPr>
      <w:spacing w:line="288" w:lineRule="auto"/>
      <w:ind w:left="142" w:right="125" w:firstLine="567"/>
      <w:jc w:val="both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widowControl w:val="0"/>
      <w:ind w:left="360"/>
      <w:jc w:val="both"/>
    </w:pPr>
    <w:rPr>
      <w:szCs w:val="20"/>
      <w:lang w:val="en-AU"/>
    </w:rPr>
  </w:style>
  <w:style w:type="paragraph" w:styleId="BodyText2">
    <w:name w:val="Body Text 2"/>
    <w:basedOn w:val="Normal"/>
    <w:pPr>
      <w:widowControl w:val="0"/>
      <w:jc w:val="both"/>
    </w:pPr>
    <w:rPr>
      <w:rFonts w:ascii="HelveticaLT" w:hAnsi="HelveticaLT"/>
      <w:snapToGrid w:val="0"/>
      <w:szCs w:val="20"/>
    </w:rPr>
  </w:style>
  <w:style w:type="paragraph" w:styleId="BodyTextIndent2">
    <w:name w:val="Body Text Indent 2"/>
    <w:basedOn w:val="Normal"/>
    <w:pPr>
      <w:widowControl w:val="0"/>
      <w:ind w:left="-66"/>
      <w:jc w:val="center"/>
    </w:pPr>
    <w:rPr>
      <w:rFonts w:ascii="Arial" w:hAnsi="Arial" w:cs="Arial"/>
      <w:snapToGrid w:val="0"/>
      <w:sz w:val="20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">
    <w:name w:val="Body Text"/>
    <w:basedOn w:val="Normal"/>
    <w:pPr>
      <w:autoSpaceDE w:val="0"/>
      <w:autoSpaceDN w:val="0"/>
      <w:adjustRightInd w:val="0"/>
      <w:spacing w:line="287" w:lineRule="atLeast"/>
    </w:pPr>
    <w:rPr>
      <w:color w:val="00000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0"/>
    </w:rPr>
  </w:style>
  <w:style w:type="paragraph" w:customStyle="1" w:styleId="numeracija">
    <w:name w:val="numeracija"/>
    <w:basedOn w:val="Normal"/>
    <w:autoRedefine/>
    <w:pPr>
      <w:spacing w:line="360" w:lineRule="auto"/>
      <w:jc w:val="center"/>
    </w:pPr>
    <w:rPr>
      <w:b/>
      <w:bCs/>
    </w:rPr>
  </w:style>
  <w:style w:type="paragraph" w:customStyle="1" w:styleId="normalIIrau">
    <w:name w:val="normal II rau"/>
    <w:basedOn w:val="Normal"/>
    <w:pPr>
      <w:jc w:val="center"/>
    </w:pPr>
  </w:style>
  <w:style w:type="paragraph" w:customStyle="1" w:styleId="normalr">
    <w:name w:val="normal.r"/>
    <w:basedOn w:val="Normal"/>
    <w:autoRedefine/>
    <w:pPr>
      <w:spacing w:line="360" w:lineRule="auto"/>
      <w:ind w:left="360" w:firstLine="360"/>
      <w:jc w:val="both"/>
    </w:pPr>
    <w:rPr>
      <w:szCs w:val="20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Normalnumer-LT">
    <w:name w:val="Normal numer (-)_LT"/>
    <w:basedOn w:val="Normal"/>
    <w:pPr>
      <w:tabs>
        <w:tab w:val="num" w:pos="284"/>
        <w:tab w:val="left" w:pos="851"/>
      </w:tabs>
    </w:pPr>
  </w:style>
  <w:style w:type="table" w:styleId="TableGrid">
    <w:name w:val="Table Grid"/>
    <w:basedOn w:val="TableNormal"/>
    <w:rsid w:val="00E0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226E92"/>
  </w:style>
  <w:style w:type="character" w:customStyle="1" w:styleId="apple-converted-space">
    <w:name w:val="apple-converted-space"/>
    <w:basedOn w:val="DefaultParagraphFont"/>
    <w:rsid w:val="00226E92"/>
  </w:style>
  <w:style w:type="character" w:styleId="Strong">
    <w:name w:val="Strong"/>
    <w:basedOn w:val="DefaultParagraphFont"/>
    <w:uiPriority w:val="22"/>
    <w:qFormat/>
    <w:rsid w:val="00226E92"/>
    <w:rPr>
      <w:b/>
      <w:bCs/>
    </w:rPr>
  </w:style>
  <w:style w:type="paragraph" w:styleId="ListParagraph">
    <w:name w:val="List Paragraph"/>
    <w:basedOn w:val="Normal"/>
    <w:uiPriority w:val="34"/>
    <w:qFormat/>
    <w:rsid w:val="005D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20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C3F9-01C8-4913-A3F1-7F32970F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TSP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R.R.</dc:creator>
  <cp:lastModifiedBy>Tomas Makaveckas</cp:lastModifiedBy>
  <cp:revision>12</cp:revision>
  <cp:lastPrinted>2020-01-13T08:06:00Z</cp:lastPrinted>
  <dcterms:created xsi:type="dcterms:W3CDTF">2015-07-15T13:26:00Z</dcterms:created>
  <dcterms:modified xsi:type="dcterms:W3CDTF">2020-01-13T08:06:00Z</dcterms:modified>
</cp:coreProperties>
</file>